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4"/>
        </w:rPr>
        <w:t>TARGET-RELEVANCE AND SAFETY MARGIN AUDIT</w:t>
      </w:r>
    </w:p>
    <w:p>
      <w:pPr>
        <w:jc w:val="center"/>
      </w:pPr>
      <w:r>
        <w:rPr>
          <w:b/>
          <w:sz w:val="23"/>
        </w:rPr>
        <w:t>2439-exNA (PrP-lowering divalent siRNA) — IND 167326</w:t>
        <w:br/>
        <w:t>Response basis for the partial clinical hold on the healthy genetically at-risk (presymptomatic) protocol</w:t>
      </w:r>
    </w:p>
    <w:p/>
    <w:tbl>
      <w:tblPr>
        <w:tblStyle w:val="TableGrid"/>
        <w:tblW w:type="auto" w:w="0"/>
        <w:jc w:val="center"/>
        <w:tblLook w:firstColumn="1" w:firstRow="1" w:lastColumn="0" w:lastRow="0" w:noHBand="0" w:noVBand="1" w:val="04A0"/>
      </w:tblPr>
      <w:tblGrid>
        <w:gridCol w:w="4896"/>
        <w:gridCol w:w="4896"/>
      </w:tblGrid>
      <w:tr>
        <w:tc>
          <w:tcPr>
            <w:tcW w:type="dxa" w:w="2016"/>
          </w:tcPr>
          <w:p>
            <w:pPr>
              <w:spacing w:after="40" w:before="40"/>
            </w:pPr>
            <w:r/>
            <w:r>
              <w:rPr>
                <w:b/>
                <w:sz w:val="19"/>
              </w:rPr>
              <w:t>Field</w:t>
            </w:r>
          </w:p>
        </w:tc>
        <w:tc>
          <w:tcPr>
            <w:tcW w:type="dxa" w:w="8064"/>
          </w:tcPr>
          <w:p>
            <w:pPr>
              <w:spacing w:after="40" w:before="40"/>
            </w:pPr>
            <w:r/>
            <w:r>
              <w:rPr>
                <w:b/>
                <w:sz w:val="19"/>
              </w:rPr>
              <w:t>Entry</w:t>
            </w:r>
          </w:p>
        </w:tc>
      </w:tr>
      <w:tr>
        <w:tc>
          <w:tcPr>
            <w:tcW w:type="dxa" w:w="2016"/>
          </w:tcPr>
          <w:p>
            <w:pPr>
              <w:spacing w:after="40" w:before="40"/>
            </w:pPr>
            <w:r/>
            <w:r>
              <w:rPr>
                <w:sz w:val="19"/>
              </w:rPr>
              <w:t>Document</w:t>
            </w:r>
          </w:p>
        </w:tc>
        <w:tc>
          <w:tcPr>
            <w:tcW w:type="dxa" w:w="8064"/>
          </w:tcPr>
          <w:p>
            <w:pPr>
              <w:spacing w:after="40" w:before="40"/>
            </w:pPr>
            <w:r/>
            <w:r>
              <w:rPr>
                <w:sz w:val="19"/>
              </w:rPr>
              <w:t>Target-Relevance and Safety Margin Audit — Nonclinical Toxicology</w:t>
            </w:r>
          </w:p>
        </w:tc>
      </w:tr>
      <w:tr>
        <w:tc>
          <w:tcPr>
            <w:tcW w:type="dxa" w:w="2016"/>
          </w:tcPr>
          <w:p>
            <w:pPr>
              <w:spacing w:after="40" w:before="40"/>
            </w:pPr>
            <w:r/>
            <w:r>
              <w:rPr>
                <w:sz w:val="19"/>
              </w:rPr>
              <w:t>File</w:t>
            </w:r>
          </w:p>
        </w:tc>
        <w:tc>
          <w:tcPr>
            <w:tcW w:type="dxa" w:w="8064"/>
          </w:tcPr>
          <w:p>
            <w:pPr>
              <w:spacing w:after="40" w:before="40"/>
            </w:pPr>
            <w:r/>
            <w:r>
              <w:rPr>
                <w:sz w:val="19"/>
              </w:rPr>
              <w:t>_Working/Nonclinical/PrP_Target_Relevance_Safety_Audit.docx</w:t>
            </w:r>
          </w:p>
        </w:tc>
      </w:tr>
      <w:tr>
        <w:tc>
          <w:tcPr>
            <w:tcW w:type="dxa" w:w="2016"/>
          </w:tcPr>
          <w:p>
            <w:pPr>
              <w:spacing w:after="40" w:before="40"/>
            </w:pPr>
            <w:r/>
            <w:r>
              <w:rPr>
                <w:sz w:val="19"/>
              </w:rPr>
              <w:t>IND / product</w:t>
            </w:r>
          </w:p>
        </w:tc>
        <w:tc>
          <w:tcPr>
            <w:tcW w:type="dxa" w:w="8064"/>
          </w:tcPr>
          <w:p>
            <w:pPr>
              <w:spacing w:after="40" w:before="40"/>
            </w:pPr>
            <w:r/>
            <w:r>
              <w:rPr>
                <w:sz w:val="19"/>
              </w:rPr>
              <w:t>IND 167326; 2439-exNA, divalent (triplex) siRNA targeting human PRNP 3′UTR; intrathecal (IT) bolus</w:t>
            </w:r>
          </w:p>
        </w:tc>
      </w:tr>
      <w:tr>
        <w:tc>
          <w:tcPr>
            <w:tcW w:type="dxa" w:w="2016"/>
          </w:tcPr>
          <w:p>
            <w:pPr>
              <w:spacing w:after="40" w:before="40"/>
            </w:pPr>
            <w:r/>
            <w:r>
              <w:rPr>
                <w:sz w:val="19"/>
              </w:rPr>
              <w:t>Trigger</w:t>
            </w:r>
          </w:p>
        </w:tc>
        <w:tc>
          <w:tcPr>
            <w:tcW w:type="dxa" w:w="8064"/>
          </w:tcPr>
          <w:p>
            <w:pPr>
              <w:spacing w:after="40" w:before="40"/>
            </w:pPr>
            <w:r/>
            <w:r>
              <w:rPr>
                <w:sz w:val="19"/>
              </w:rPr>
              <w:t>FDA partial clinical hold, 21 CFR 312.42(b)(1)(iv), letter signed Emily Freilich, MD, 11 April 2025 (Reference ID 5570921)</w:t>
            </w:r>
          </w:p>
        </w:tc>
      </w:tr>
      <w:tr>
        <w:tc>
          <w:tcPr>
            <w:tcW w:type="dxa" w:w="2016"/>
          </w:tcPr>
          <w:p>
            <w:pPr>
              <w:spacing w:after="40" w:before="40"/>
            </w:pPr>
            <w:r/>
            <w:r>
              <w:rPr>
                <w:sz w:val="19"/>
              </w:rPr>
              <w:t>Purpose</w:t>
            </w:r>
          </w:p>
        </w:tc>
        <w:tc>
          <w:tcPr>
            <w:tcW w:type="dxa" w:w="8064"/>
          </w:tcPr>
          <w:p>
            <w:pPr>
              <w:spacing w:after="40" w:before="40"/>
            </w:pPr>
            <w:r/>
            <w:r>
              <w:rPr>
                <w:sz w:val="19"/>
              </w:rPr>
              <w:t>(1) Reconcile every safety-margin claim in the nonclinical dossier against the primary study-level and sequence-level records; (2) state which margins Nonclinical will defend on inspection and which must be restated or withdrawn; (3) assess the internal bridging options against the deficiency; (4) carry the hold-lifting cynomolgus study as a liftable specification.</w:t>
            </w:r>
          </w:p>
        </w:tc>
      </w:tr>
      <w:tr>
        <w:tc>
          <w:tcPr>
            <w:tcW w:type="dxa" w:w="2016"/>
          </w:tcPr>
          <w:p>
            <w:pPr>
              <w:spacing w:after="40" w:before="40"/>
            </w:pPr>
            <w:r/>
            <w:r>
              <w:rPr>
                <w:sz w:val="19"/>
              </w:rPr>
              <w:t>Prepared for</w:t>
            </w:r>
          </w:p>
        </w:tc>
        <w:tc>
          <w:tcPr>
            <w:tcW w:type="dxa" w:w="8064"/>
          </w:tcPr>
          <w:p>
            <w:pPr>
              <w:spacing w:after="40" w:before="40"/>
            </w:pPr>
            <w:r/>
            <w:r>
              <w:rPr>
                <w:sz w:val="19"/>
              </w:rPr>
              <w:t>Debra Arnold, PhD, Director of Nonclinical Toxicology</w:t>
            </w:r>
          </w:p>
        </w:tc>
      </w:tr>
      <w:tr>
        <w:tc>
          <w:tcPr>
            <w:tcW w:type="dxa" w:w="2016"/>
          </w:tcPr>
          <w:p>
            <w:pPr>
              <w:spacing w:after="40" w:before="40"/>
            </w:pPr>
            <w:r/>
            <w:r>
              <w:rPr>
                <w:sz w:val="19"/>
              </w:rPr>
              <w:t>Status</w:t>
            </w:r>
          </w:p>
        </w:tc>
        <w:tc>
          <w:tcPr>
            <w:tcW w:type="dxa" w:w="8064"/>
          </w:tcPr>
          <w:p>
            <w:pPr>
              <w:spacing w:after="40" w:before="40"/>
            </w:pPr>
            <w:r/>
            <w:r>
              <w:rPr>
                <w:sz w:val="19"/>
              </w:rPr>
              <w:t>Nonclinical position of record for the hold response. Supersedes, for margin language, the corresponding text in 2.4, 2.6.2, 2.6.4, 2.6.6 and the Investigator’s Brochure.</w:t>
            </w:r>
          </w:p>
        </w:tc>
      </w:tr>
    </w:tbl>
    <w:p/>
    <w:p>
      <w:pPr>
        <w:pStyle w:val="Heading1"/>
      </w:pPr>
      <w:r>
        <w:t>0. Bottom line</w:t>
      </w:r>
    </w:p>
    <w:p>
      <w:r>
        <w:rPr>
          <w:b w:val="0"/>
          <w:i w:val="0"/>
        </w:rPr>
        <w:t>Six findings drive everything below. Each is sourced in the sections that follow.</w:t>
      </w:r>
    </w:p>
    <w:tbl>
      <w:tblPr>
        <w:tblStyle w:val="TableGrid"/>
        <w:tblW w:type="auto" w:w="0"/>
        <w:jc w:val="center"/>
        <w:tblLook w:firstColumn="1" w:firstRow="1" w:lastColumn="0" w:lastRow="0" w:noHBand="0" w:noVBand="1" w:val="04A0"/>
      </w:tblPr>
      <w:tblGrid>
        <w:gridCol w:w="3264"/>
        <w:gridCol w:w="3264"/>
        <w:gridCol w:w="3264"/>
      </w:tblGrid>
      <w:tr>
        <w:tc>
          <w:tcPr>
            <w:tcW w:type="dxa" w:w="432"/>
          </w:tcPr>
          <w:p>
            <w:pPr>
              <w:spacing w:after="40" w:before="40"/>
            </w:pPr>
            <w:r/>
            <w:r>
              <w:rPr>
                <w:b/>
                <w:sz w:val="17"/>
              </w:rPr>
              <w:t>#</w:t>
            </w:r>
          </w:p>
        </w:tc>
        <w:tc>
          <w:tcPr>
            <w:tcW w:type="dxa" w:w="4896"/>
          </w:tcPr>
          <w:p>
            <w:pPr>
              <w:spacing w:after="40" w:before="40"/>
            </w:pPr>
            <w:r/>
            <w:r>
              <w:rPr>
                <w:b/>
                <w:sz w:val="17"/>
              </w:rPr>
              <w:t>Finding</w:t>
            </w:r>
          </w:p>
        </w:tc>
        <w:tc>
          <w:tcPr>
            <w:tcW w:type="dxa" w:w="4752"/>
          </w:tcPr>
          <w:p>
            <w:pPr>
              <w:spacing w:after="40" w:before="40"/>
            </w:pPr>
            <w:r/>
            <w:r>
              <w:rPr>
                <w:b/>
                <w:sz w:val="17"/>
              </w:rPr>
              <w:t>Consequence</w:t>
            </w:r>
          </w:p>
        </w:tc>
      </w:tr>
      <w:tr>
        <w:tc>
          <w:tcPr>
            <w:tcW w:type="dxa" w:w="432"/>
          </w:tcPr>
          <w:p>
            <w:pPr>
              <w:spacing w:after="40" w:before="40"/>
            </w:pPr>
            <w:r/>
            <w:r>
              <w:rPr>
                <w:sz w:val="17"/>
              </w:rPr>
              <w:t>1</w:t>
            </w:r>
          </w:p>
        </w:tc>
        <w:tc>
          <w:tcPr>
            <w:tcW w:type="dxa" w:w="4896"/>
          </w:tcPr>
          <w:p>
            <w:pPr>
              <w:spacing w:after="40" w:before="40"/>
            </w:pPr>
            <w:r/>
            <w:r>
              <w:rPr>
                <w:sz w:val="17"/>
              </w:rPr>
              <w:t>No margin in IND 167326 is an on-target margin. 2439-exNA is not sequence-matched to rat or dog, and neither GLP toxicity study (A-703-01, A-703-02) contains any PrP or PRNP measurement — zero occurrences of ELISA, mRNA, qPCR or target-engagement in either report.</w:t>
            </w:r>
          </w:p>
        </w:tc>
        <w:tc>
          <w:tcPr>
            <w:tcW w:type="dxa" w:w="4752"/>
          </w:tcPr>
          <w:p>
            <w:pPr>
              <w:spacing w:after="40" w:before="40"/>
            </w:pPr>
            <w:r/>
            <w:r>
              <w:rPr>
                <w:sz w:val="17"/>
              </w:rPr>
              <w:t>Every margin the dossier carries is a non-hybridization (platform-chemistry and procedure) margin. It must be labeled as such in the response. FDA’s deficiency is factually correct.</w:t>
            </w:r>
          </w:p>
        </w:tc>
      </w:tr>
      <w:tr>
        <w:tc>
          <w:tcPr>
            <w:tcW w:type="dxa" w:w="432"/>
          </w:tcPr>
          <w:p>
            <w:pPr>
              <w:spacing w:after="40" w:before="40"/>
            </w:pPr>
            <w:r/>
            <w:r>
              <w:rPr>
                <w:sz w:val="17"/>
              </w:rPr>
              <w:t>2</w:t>
            </w:r>
          </w:p>
        </w:tc>
        <w:tc>
          <w:tcPr>
            <w:tcW w:type="dxa" w:w="4896"/>
          </w:tcPr>
          <w:p>
            <w:pPr>
              <w:spacing w:after="40" w:before="40"/>
            </w:pPr>
            <w:r/>
            <w:r>
              <w:rPr>
                <w:sz w:val="17"/>
              </w:rPr>
              <w:t>The margin arithmetic itself is reproducible and correct, including the human dilution-to-20 mL step that sets the human injection-site concentration at 2.5 / 5.0 / 10.0 mg/mL.</w:t>
            </w:r>
          </w:p>
        </w:tc>
        <w:tc>
          <w:tcPr>
            <w:tcW w:type="dxa" w:w="4752"/>
          </w:tcPr>
          <w:p>
            <w:pPr>
              <w:spacing w:after="40" w:before="40"/>
            </w:pPr>
            <w:r/>
            <w:r>
              <w:rPr>
                <w:sz w:val="17"/>
              </w:rPr>
              <w:t>The numbers 26.7–40.0× (50 mg) and 6.7–10.0× (200 mg) survive audit as arithmetic. What fails is their characterization, not their computation.</w:t>
            </w:r>
          </w:p>
        </w:tc>
      </w:tr>
      <w:tr>
        <w:tc>
          <w:tcPr>
            <w:tcW w:type="dxa" w:w="432"/>
          </w:tcPr>
          <w:p>
            <w:pPr>
              <w:spacing w:after="40" w:before="40"/>
            </w:pPr>
            <w:r/>
            <w:r>
              <w:rPr>
                <w:sz w:val="17"/>
              </w:rPr>
              <w:t>3</w:t>
            </w:r>
          </w:p>
        </w:tc>
        <w:tc>
          <w:tcPr>
            <w:tcW w:type="dxa" w:w="4896"/>
          </w:tcPr>
          <w:p>
            <w:pPr>
              <w:spacing w:after="40" w:before="40"/>
            </w:pPr>
            <w:r/>
            <w:r>
              <w:rPr>
                <w:sz w:val="17"/>
              </w:rPr>
              <w:t>The rat high-dose formulation was analyzed at 116.4% of nominal (all three rat levels 116.4–122.7%, outside the ±10% acceptance criterion). The delivered high dose was 3.49 mg, not 3.0 mg.</w:t>
            </w:r>
          </w:p>
        </w:tc>
        <w:tc>
          <w:tcPr>
            <w:tcW w:type="dxa" w:w="4752"/>
          </w:tcPr>
          <w:p>
            <w:pPr>
              <w:spacing w:after="40" w:before="40"/>
            </w:pPr>
            <w:r/>
            <w:r>
              <w:rPr>
                <w:sz w:val="17"/>
              </w:rPr>
              <w:t>Every rat-derived margin must be footnoted as nominal with the deviation disclosed. Do not present "NOAEL 3.0 mg" as a verified dose.</w:t>
            </w:r>
          </w:p>
        </w:tc>
      </w:tr>
      <w:tr>
        <w:tc>
          <w:tcPr>
            <w:tcW w:type="dxa" w:w="432"/>
          </w:tcPr>
          <w:p>
            <w:pPr>
              <w:spacing w:after="40" w:before="40"/>
            </w:pPr>
            <w:r/>
            <w:r>
              <w:rPr>
                <w:sz w:val="17"/>
              </w:rPr>
              <w:t>4</w:t>
            </w:r>
          </w:p>
        </w:tc>
        <w:tc>
          <w:tcPr>
            <w:tcW w:type="dxa" w:w="4896"/>
          </w:tcPr>
          <w:p>
            <w:pPr>
              <w:spacing w:after="40" w:before="40"/>
            </w:pPr>
            <w:r/>
            <w:r>
              <w:rPr>
                <w:sz w:val="17"/>
              </w:rPr>
              <w:t>The claim that a functional observational battery was included in the GLP rat study is unsupported: the rat report contains no neurobehavioral endpoint of any kind. The only CNS battery in the program was in dog, recovery cohort only, at two timepoints (pre-dose and Day 6), home-cage observational.</w:t>
            </w:r>
          </w:p>
        </w:tc>
        <w:tc>
          <w:tcPr>
            <w:tcW w:type="dxa" w:w="4752"/>
          </w:tcPr>
          <w:p>
            <w:pPr>
              <w:spacing w:after="40" w:before="40"/>
            </w:pPr>
            <w:r/>
            <w:r>
              <w:rPr>
                <w:sz w:val="17"/>
              </w:rPr>
              <w:t>The one statement in the dossier that speaks directly to FDA’s neurobehavioral concern is wrong. It must be corrected in 2.4.2.3 and 2.6.2 before or with the response.</w:t>
            </w:r>
          </w:p>
        </w:tc>
      </w:tr>
      <w:tr>
        <w:tc>
          <w:tcPr>
            <w:tcW w:type="dxa" w:w="432"/>
          </w:tcPr>
          <w:p>
            <w:pPr>
              <w:spacing w:after="40" w:before="40"/>
            </w:pPr>
            <w:r/>
            <w:r>
              <w:rPr>
                <w:sz w:val="17"/>
              </w:rPr>
              <w:t>5</w:t>
            </w:r>
          </w:p>
        </w:tc>
        <w:tc>
          <w:tcPr>
            <w:tcW w:type="dxa" w:w="4896"/>
          </w:tcPr>
          <w:p>
            <w:pPr>
              <w:spacing w:after="40" w:before="40"/>
            </w:pPr>
            <w:r/>
            <w:r>
              <w:rPr>
                <w:sz w:val="17"/>
              </w:rPr>
              <w:t>The humanized-mouse package cannot be used as a rebuttal. Both Tg lines carry insertional gene disruptions (Tg25109: 413 kb and 62 kb deletions removing Tmx1 exons 1–8 and Frmd6 exons 2–14, sub-viable homozygotes; Tg26372: 47 kb deletion in Dok6, copy number only estimable as 10–20, up to 5.4× PrP overexpression), and neither carries a neurobehavioral or peripheral-nerve endpoint.</w:t>
            </w:r>
          </w:p>
        </w:tc>
        <w:tc>
          <w:tcPr>
            <w:tcW w:type="dxa" w:w="4752"/>
          </w:tcPr>
          <w:p>
            <w:pPr>
              <w:spacing w:after="40" w:before="40"/>
            </w:pPr>
            <w:r/>
            <w:r>
              <w:rPr>
                <w:sz w:val="17"/>
              </w:rPr>
              <w:t>The rebuttal-first strategy in REGOPS-MEMO-2025-04-02 is not supportable. Nonclinical cannot sign it.</w:t>
            </w:r>
          </w:p>
        </w:tc>
      </w:tr>
      <w:tr>
        <w:tc>
          <w:tcPr>
            <w:tcW w:type="dxa" w:w="432"/>
          </w:tcPr>
          <w:p>
            <w:pPr>
              <w:spacing w:after="40" w:before="40"/>
            </w:pPr>
            <w:r/>
            <w:r>
              <w:rPr>
                <w:sz w:val="17"/>
              </w:rPr>
              <w:t>6</w:t>
            </w:r>
          </w:p>
        </w:tc>
        <w:tc>
          <w:tcPr>
            <w:tcW w:type="dxa" w:w="4896"/>
          </w:tcPr>
          <w:p>
            <w:pPr>
              <w:spacing w:after="40" w:before="40"/>
            </w:pPr>
            <w:r/>
            <w:r>
              <w:rPr>
                <w:sz w:val="17"/>
              </w:rPr>
              <w:t>Cynomolgus and rhesus are perfectly matched at bases 2–17 of the 2439 antisense strand; no other proposed preclinical species is matched. No cynomolgus CSF volume and no cynomolgus off-target (BLAST) table exist anywhere on the desk.</w:t>
            </w:r>
          </w:p>
        </w:tc>
        <w:tc>
          <w:tcPr>
            <w:tcW w:type="dxa" w:w="4752"/>
          </w:tcPr>
          <w:p>
            <w:pPr>
              <w:spacing w:after="40" w:before="40"/>
            </w:pPr>
            <w:r/>
            <w:r>
              <w:rPr>
                <w:sz w:val="17"/>
              </w:rPr>
              <w:t>The cynomolgus study is the only route to lifting the hold (Section 6). Two inputs must be generated before its protocol is final (Section 7.10). No cynomolgus margin may be stated today.</w:t>
            </w:r>
          </w:p>
        </w:tc>
      </w:tr>
    </w:tbl>
    <w:p/>
    <w:p>
      <w:pPr>
        <w:pStyle w:val="Heading1"/>
      </w:pPr>
      <w:r>
        <w:t>1. The deficiency of record</w:t>
      </w:r>
    </w:p>
    <w:p>
      <w:r>
        <w:rPr>
          <w:b w:val="0"/>
          <w:i w:val="0"/>
        </w:rPr>
        <w:t>The 11 April 2025 letter permits the symptomatic protocol to proceed and places the presymptomatic protocol on partial clinical hold. The nonclinical basis is quoted verbatim because the response must answer these words and not a paraphrase of them:</w:t>
      </w:r>
    </w:p>
    <w:p>
      <w:pPr>
        <w:ind w:left="504"/>
      </w:pPr>
      <w:r>
        <w:rPr>
          <w:i/>
        </w:rPr>
        <w:t>"PrP-siRNA is not pharmacologically active in the animal species (rat, dog) used for toxicity testing; therefore, on-target effects were not assessed. PrP-siRNA is pharmacologically active in cynomolgus monkey … there are concerns that reducing prion protein may have adverse effects on neurobehavioral function (Wulf et al. 2017)."</w:t>
      </w:r>
    </w:p>
    <w:p>
      <w:pPr>
        <w:ind w:left="504"/>
      </w:pPr>
      <w:r>
        <w:rPr>
          <w:i/>
        </w:rPr>
        <w:t>The corrective action specified is "a GLP-compliant intrathecal toxicity study in cynomolgus monkey. The study should be of a duration similar to or greater than that proposed for humans."</w:t>
      </w:r>
    </w:p>
    <w:p>
      <w:r>
        <w:rPr>
          <w:b w:val="0"/>
          <w:i w:val="0"/>
        </w:rPr>
        <w:t>Two procedural elements of the letter constrain the response and are addressed in Section 6.3: the letter directs that responses to non-hold comments be submitted in a separate amendment, and 21 CFR 312.42(e) governs when the held protocol may be initiated.</w:t>
      </w:r>
    </w:p>
    <w:p>
      <w:r>
        <w:rPr>
          <w:b w:val="0"/>
          <w:i w:val="0"/>
        </w:rPr>
        <w:t>The deficiency has three distinct components, and a response that answers only the first will not lift the hold:</w:t>
      </w:r>
    </w:p>
    <w:p>
      <w:pPr>
        <w:pStyle w:val="ListBullet"/>
      </w:pPr>
      <w:r>
        <w:t>(a) Species relevance — the toxicity species cannot express the pharmacology.</w:t>
      </w:r>
    </w:p>
    <w:p>
      <w:pPr>
        <w:pStyle w:val="ListBullet"/>
      </w:pPr>
      <w:r>
        <w:t>(b) On-target assessment — no study measured PrP lowering together with toxicity endpoints.</w:t>
      </w:r>
    </w:p>
    <w:p>
      <w:pPr>
        <w:pStyle w:val="ListBullet"/>
      </w:pPr>
      <w:r>
        <w:t>(c) Neurobehavioral function under PrP lowering — the specific hazard, cited to Wulf 2017.</w:t>
      </w:r>
    </w:p>
    <w:p>
      <w:pPr>
        <w:pStyle w:val="Heading1"/>
      </w:pPr>
      <w:r>
        <w:t>2. Target relevance: which species can and cannot report on-target toxicity</w:t>
      </w:r>
    </w:p>
    <w:p>
      <w:pPr>
        <w:pStyle w:val="Heading2"/>
      </w:pPr>
      <w:r>
        <w:t>2.1 Sequence basis</w:t>
      </w:r>
    </w:p>
    <w:p>
      <w:r>
        <w:rPr>
          <w:b w:val="0"/>
          <w:i w:val="0"/>
        </w:rPr>
        <w:t>The audited antisense sequence is 5′-UGAAUACUCACAAAGUGCAUU-3′, confirmed independently from the drug-substance structure record (3.2.S.1.2: V(mU)#(fG)#(mA)(fA)(fU)(fA)(mC)(fU)(mC)(fA)(mC)(fA)(mA)(fA)(mG)(fU)(mG)(mC)(mA)#(mxU)#(fxU); MW 24,952.48 Da free acid, 26,531.16 Da sodium salt) and from the secondary-pharmacodynamics report 4.2.1.2. The exNA/s4 scaffold carries a fixed (unmatched) 3′ antisense tail; the discovery supplementary table (raw_data/supptables/antisense_sequences.tsv) lists 2439 with a matched …GCAAG tail. Bases 2–17 — the homology-determining region cited in the Type B and Type D briefing packages — are identical between the two, so the discrepancy does not affect the species-relevance conclusion, but the response should quote the drug-substance record and not the supplementary table.</w:t>
      </w:r>
    </w:p>
    <w:p>
      <w:r>
        <w:rPr>
          <w:b/>
        </w:rPr>
        <w:t xml:space="preserve">Data-integrity note. </w:t>
      </w:r>
      <w:r>
        <w:rPr>
          <w:b w:val="0"/>
        </w:rPr>
        <w:t>raw_data/supptables/antisense_sequences_2025-03-10.tsv is corrupted: many rows have been overwritten with an identical junk string (UTTTTCTTTTUTCTUGCTTTG), the NTC-U and NTC-A control rows have been deleted, and rows have been inserted. The 2439 row is unaffected, so no conclusion in this audit or in the dossier depends on the damaged file. It must not be cited, and the discovery group should be asked to restore it from version control.</w:t>
      </w:r>
    </w:p>
    <w:p>
      <w:pPr>
        <w:pStyle w:val="Heading2"/>
      </w:pPr>
      <w:r>
        <w:t>2.2 Species homology</w:t>
      </w:r>
    </w:p>
    <w:p>
      <w:r>
        <w:rPr>
          <w:b w:val="0"/>
          <w:i w:val="0"/>
        </w:rPr>
        <w:t>From the Type B and Type D briefing packages (Figure 8): "The target of bases 2-17 of sequence 2439 is perfectly matched in cynomolgus and rhesus macaques. New world monkeys have a single mismatch at base 2. Other potential preclinical species are not matched." This is confirmed independently by the species tables in 4.2.1.2, which show a single-mismatch Furin hit in mouse and rat and no PRNP hit in either species.</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1656"/>
          </w:tcPr>
          <w:p>
            <w:pPr>
              <w:spacing w:after="40" w:before="40"/>
            </w:pPr>
            <w:r/>
            <w:r>
              <w:rPr>
                <w:b/>
                <w:sz w:val="17"/>
              </w:rPr>
              <w:t>Species</w:t>
            </w:r>
          </w:p>
        </w:tc>
        <w:tc>
          <w:tcPr>
            <w:tcW w:type="dxa" w:w="1872"/>
          </w:tcPr>
          <w:p>
            <w:pPr>
              <w:spacing w:after="40" w:before="40"/>
            </w:pPr>
            <w:r/>
            <w:r>
              <w:rPr>
                <w:b/>
                <w:sz w:val="17"/>
              </w:rPr>
              <w:t>Match at PRNP bases 2–17</w:t>
            </w:r>
          </w:p>
        </w:tc>
        <w:tc>
          <w:tcPr>
            <w:tcW w:type="dxa" w:w="1512"/>
          </w:tcPr>
          <w:p>
            <w:pPr>
              <w:spacing w:after="40" w:before="40"/>
            </w:pPr>
            <w:r/>
            <w:r>
              <w:rPr>
                <w:b/>
                <w:sz w:val="17"/>
              </w:rPr>
              <w:t>On-target PrP lowering measurable?</w:t>
            </w:r>
          </w:p>
        </w:tc>
        <w:tc>
          <w:tcPr>
            <w:tcW w:type="dxa" w:w="2232"/>
          </w:tcPr>
          <w:p>
            <w:pPr>
              <w:spacing w:after="40" w:before="40"/>
            </w:pPr>
            <w:r/>
            <w:r>
              <w:rPr>
                <w:b/>
                <w:sz w:val="17"/>
              </w:rPr>
              <w:t>Studies conducted</w:t>
            </w:r>
          </w:p>
        </w:tc>
        <w:tc>
          <w:tcPr>
            <w:tcW w:type="dxa" w:w="2808"/>
          </w:tcPr>
          <w:p>
            <w:pPr>
              <w:spacing w:after="40" w:before="40"/>
            </w:pPr>
            <w:r/>
            <w:r>
              <w:rPr>
                <w:b/>
                <w:sz w:val="17"/>
              </w:rPr>
              <w:t>What the study can report</w:t>
            </w:r>
          </w:p>
        </w:tc>
      </w:tr>
      <w:tr>
        <w:tc>
          <w:tcPr>
            <w:tcW w:type="dxa" w:w="1656"/>
          </w:tcPr>
          <w:p>
            <w:pPr>
              <w:spacing w:after="40" w:before="40"/>
            </w:pPr>
            <w:r/>
            <w:r>
              <w:rPr>
                <w:sz w:val="17"/>
              </w:rPr>
              <w:t>Human</w:t>
            </w:r>
          </w:p>
        </w:tc>
        <w:tc>
          <w:tcPr>
            <w:tcW w:type="dxa" w:w="1872"/>
          </w:tcPr>
          <w:p>
            <w:pPr>
              <w:spacing w:after="40" w:before="40"/>
            </w:pPr>
            <w:r/>
            <w:r>
              <w:rPr>
                <w:sz w:val="17"/>
              </w:rPr>
              <w:t>Reference (0 mismatches; PRNP NM_000311, 16/16, plus strand, position 2081–2096)</w:t>
            </w:r>
          </w:p>
        </w:tc>
        <w:tc>
          <w:tcPr>
            <w:tcW w:type="dxa" w:w="1512"/>
          </w:tcPr>
          <w:p>
            <w:pPr>
              <w:spacing w:after="40" w:before="40"/>
            </w:pPr>
            <w:r/>
            <w:r>
              <w:rPr>
                <w:sz w:val="17"/>
              </w:rPr>
              <w:t>—</w:t>
            </w:r>
          </w:p>
        </w:tc>
        <w:tc>
          <w:tcPr>
            <w:tcW w:type="dxa" w:w="2232"/>
          </w:tcPr>
          <w:p>
            <w:pPr>
              <w:spacing w:after="40" w:before="40"/>
            </w:pPr>
            <w:r/>
            <w:r>
              <w:rPr>
                <w:sz w:val="17"/>
              </w:rPr>
              <w:t>—</w:t>
            </w:r>
          </w:p>
        </w:tc>
        <w:tc>
          <w:tcPr>
            <w:tcW w:type="dxa" w:w="2808"/>
          </w:tcPr>
          <w:p>
            <w:pPr>
              <w:spacing w:after="40" w:before="40"/>
            </w:pPr>
            <w:r/>
            <w:r>
              <w:rPr>
                <w:sz w:val="17"/>
              </w:rPr>
              <w:t>—</w:t>
            </w:r>
          </w:p>
        </w:tc>
      </w:tr>
      <w:tr>
        <w:tc>
          <w:tcPr>
            <w:tcW w:type="dxa" w:w="1656"/>
          </w:tcPr>
          <w:p>
            <w:pPr>
              <w:spacing w:after="40" w:before="40"/>
            </w:pPr>
            <w:r/>
            <w:r>
              <w:rPr>
                <w:sz w:val="17"/>
              </w:rPr>
              <w:t>Cynomolgus / rhesus macaque</w:t>
            </w:r>
          </w:p>
        </w:tc>
        <w:tc>
          <w:tcPr>
            <w:tcW w:type="dxa" w:w="1872"/>
          </w:tcPr>
          <w:p>
            <w:pPr>
              <w:spacing w:after="40" w:before="40"/>
            </w:pPr>
            <w:r/>
            <w:r>
              <w:rPr>
                <w:sz w:val="17"/>
              </w:rPr>
              <w:t>Perfect match</w:t>
            </w:r>
          </w:p>
        </w:tc>
        <w:tc>
          <w:tcPr>
            <w:tcW w:type="dxa" w:w="1512"/>
          </w:tcPr>
          <w:p>
            <w:pPr>
              <w:spacing w:after="40" w:before="40"/>
            </w:pPr>
            <w:r/>
            <w:r>
              <w:rPr>
                <w:sz w:val="17"/>
              </w:rPr>
              <w:t>Yes</w:t>
            </w:r>
          </w:p>
        </w:tc>
        <w:tc>
          <w:tcPr>
            <w:tcW w:type="dxa" w:w="2232"/>
          </w:tcPr>
          <w:p>
            <w:pPr>
              <w:spacing w:after="40" w:before="40"/>
            </w:pPr>
            <w:r/>
            <w:r>
              <w:rPr>
                <w:sz w:val="17"/>
              </w:rPr>
              <w:t>None</w:t>
            </w:r>
          </w:p>
        </w:tc>
        <w:tc>
          <w:tcPr>
            <w:tcW w:type="dxa" w:w="2808"/>
          </w:tcPr>
          <w:p>
            <w:pPr>
              <w:spacing w:after="40" w:before="40"/>
            </w:pPr>
            <w:r/>
            <w:r>
              <w:rPr>
                <w:sz w:val="17"/>
              </w:rPr>
              <w:t>—</w:t>
            </w:r>
          </w:p>
        </w:tc>
      </w:tr>
      <w:tr>
        <w:tc>
          <w:tcPr>
            <w:tcW w:type="dxa" w:w="1656"/>
          </w:tcPr>
          <w:p>
            <w:pPr>
              <w:spacing w:after="40" w:before="40"/>
            </w:pPr>
            <w:r/>
            <w:r>
              <w:rPr>
                <w:sz w:val="17"/>
              </w:rPr>
              <w:t>New World monkeys</w:t>
            </w:r>
          </w:p>
        </w:tc>
        <w:tc>
          <w:tcPr>
            <w:tcW w:type="dxa" w:w="1872"/>
          </w:tcPr>
          <w:p>
            <w:pPr>
              <w:spacing w:after="40" w:before="40"/>
            </w:pPr>
            <w:r/>
            <w:r>
              <w:rPr>
                <w:sz w:val="17"/>
              </w:rPr>
              <w:t>1 mismatch (base 2)</w:t>
            </w:r>
          </w:p>
        </w:tc>
        <w:tc>
          <w:tcPr>
            <w:tcW w:type="dxa" w:w="1512"/>
          </w:tcPr>
          <w:p>
            <w:pPr>
              <w:spacing w:after="40" w:before="40"/>
            </w:pPr>
            <w:r/>
            <w:r>
              <w:rPr>
                <w:sz w:val="17"/>
              </w:rPr>
              <w:t>Partial / unquantified</w:t>
            </w:r>
          </w:p>
        </w:tc>
        <w:tc>
          <w:tcPr>
            <w:tcW w:type="dxa" w:w="2232"/>
          </w:tcPr>
          <w:p>
            <w:pPr>
              <w:spacing w:after="40" w:before="40"/>
            </w:pPr>
            <w:r/>
            <w:r>
              <w:rPr>
                <w:sz w:val="17"/>
              </w:rPr>
              <w:t>None</w:t>
            </w:r>
          </w:p>
        </w:tc>
        <w:tc>
          <w:tcPr>
            <w:tcW w:type="dxa" w:w="2808"/>
          </w:tcPr>
          <w:p>
            <w:pPr>
              <w:spacing w:after="40" w:before="40"/>
            </w:pPr>
            <w:r/>
            <w:r>
              <w:rPr>
                <w:sz w:val="17"/>
              </w:rPr>
              <w:t>—</w:t>
            </w:r>
          </w:p>
        </w:tc>
      </w:tr>
      <w:tr>
        <w:tc>
          <w:tcPr>
            <w:tcW w:type="dxa" w:w="1656"/>
          </w:tcPr>
          <w:p>
            <w:pPr>
              <w:spacing w:after="40" w:before="40"/>
            </w:pPr>
            <w:r/>
            <w:r>
              <w:rPr>
                <w:sz w:val="17"/>
              </w:rPr>
              <w:t>Rat (Sprague Dawley)</w:t>
            </w:r>
          </w:p>
        </w:tc>
        <w:tc>
          <w:tcPr>
            <w:tcW w:type="dxa" w:w="1872"/>
          </w:tcPr>
          <w:p>
            <w:pPr>
              <w:spacing w:after="40" w:before="40"/>
            </w:pPr>
            <w:r/>
            <w:r>
              <w:rPr>
                <w:sz w:val="17"/>
              </w:rPr>
              <w:t>Not matched</w:t>
            </w:r>
          </w:p>
        </w:tc>
        <w:tc>
          <w:tcPr>
            <w:tcW w:type="dxa" w:w="1512"/>
          </w:tcPr>
          <w:p>
            <w:pPr>
              <w:spacing w:after="40" w:before="40"/>
            </w:pPr>
            <w:r/>
            <w:r>
              <w:rPr>
                <w:sz w:val="17"/>
              </w:rPr>
              <w:t>No</w:t>
            </w:r>
          </w:p>
        </w:tc>
        <w:tc>
          <w:tcPr>
            <w:tcW w:type="dxa" w:w="2232"/>
          </w:tcPr>
          <w:p>
            <w:pPr>
              <w:spacing w:after="40" w:before="40"/>
            </w:pPr>
            <w:r/>
            <w:r>
              <w:rPr>
                <w:sz w:val="17"/>
              </w:rPr>
              <w:t>A-703-01 (GLP, single IT dose, REPORT-00611)</w:t>
            </w:r>
          </w:p>
        </w:tc>
        <w:tc>
          <w:tcPr>
            <w:tcW w:type="dxa" w:w="2808"/>
          </w:tcPr>
          <w:p>
            <w:pPr>
              <w:spacing w:after="40" w:before="40"/>
            </w:pPr>
            <w:r/>
            <w:r>
              <w:rPr>
                <w:sz w:val="17"/>
              </w:rPr>
              <w:t>Non-hybridization toxicity, procedure tolerability, exposure only</w:t>
            </w:r>
          </w:p>
        </w:tc>
      </w:tr>
      <w:tr>
        <w:tc>
          <w:tcPr>
            <w:tcW w:type="dxa" w:w="1656"/>
          </w:tcPr>
          <w:p>
            <w:pPr>
              <w:spacing w:after="40" w:before="40"/>
            </w:pPr>
            <w:r/>
            <w:r>
              <w:rPr>
                <w:sz w:val="17"/>
              </w:rPr>
              <w:t>Dog (Beagle)</w:t>
            </w:r>
          </w:p>
        </w:tc>
        <w:tc>
          <w:tcPr>
            <w:tcW w:type="dxa" w:w="1872"/>
          </w:tcPr>
          <w:p>
            <w:pPr>
              <w:spacing w:after="40" w:before="40"/>
            </w:pPr>
            <w:r/>
            <w:r>
              <w:rPr>
                <w:sz w:val="17"/>
              </w:rPr>
              <w:t>Not matched</w:t>
            </w:r>
          </w:p>
        </w:tc>
        <w:tc>
          <w:tcPr>
            <w:tcW w:type="dxa" w:w="1512"/>
          </w:tcPr>
          <w:p>
            <w:pPr>
              <w:spacing w:after="40" w:before="40"/>
            </w:pPr>
            <w:r/>
            <w:r>
              <w:rPr>
                <w:sz w:val="17"/>
              </w:rPr>
              <w:t>No</w:t>
            </w:r>
          </w:p>
        </w:tc>
        <w:tc>
          <w:tcPr>
            <w:tcW w:type="dxa" w:w="2232"/>
          </w:tcPr>
          <w:p>
            <w:pPr>
              <w:spacing w:after="40" w:before="40"/>
            </w:pPr>
            <w:r/>
            <w:r>
              <w:rPr>
                <w:sz w:val="17"/>
              </w:rPr>
              <w:t>A-703-02 (GLP, single IT dose, REPORT-00664); A-703-03 (non-GLP MTD)</w:t>
            </w:r>
          </w:p>
        </w:tc>
        <w:tc>
          <w:tcPr>
            <w:tcW w:type="dxa" w:w="2808"/>
          </w:tcPr>
          <w:p>
            <w:pPr>
              <w:spacing w:after="40" w:before="40"/>
            </w:pPr>
            <w:r/>
            <w:r>
              <w:rPr>
                <w:sz w:val="17"/>
              </w:rPr>
              <w:t>Non-hybridization toxicity, procedure tolerability, exposure only</w:t>
            </w:r>
          </w:p>
        </w:tc>
      </w:tr>
      <w:tr>
        <w:tc>
          <w:tcPr>
            <w:tcW w:type="dxa" w:w="1656"/>
          </w:tcPr>
          <w:p>
            <w:pPr>
              <w:spacing w:after="40" w:before="40"/>
            </w:pPr>
            <w:r/>
            <w:r>
              <w:rPr>
                <w:sz w:val="17"/>
              </w:rPr>
              <w:t>Humanized PRNP Tg mouse (Tg25109, Tg26372)</w:t>
            </w:r>
          </w:p>
        </w:tc>
        <w:tc>
          <w:tcPr>
            <w:tcW w:type="dxa" w:w="1872"/>
          </w:tcPr>
          <w:p>
            <w:pPr>
              <w:spacing w:after="40" w:before="40"/>
            </w:pPr>
            <w:r/>
            <w:r>
              <w:rPr>
                <w:sz w:val="17"/>
              </w:rPr>
              <w:t>Human transgene (matched)</w:t>
            </w:r>
          </w:p>
        </w:tc>
        <w:tc>
          <w:tcPr>
            <w:tcW w:type="dxa" w:w="1512"/>
          </w:tcPr>
          <w:p>
            <w:pPr>
              <w:spacing w:after="40" w:before="40"/>
            </w:pPr>
            <w:r/>
            <w:r>
              <w:rPr>
                <w:sz w:val="17"/>
              </w:rPr>
              <w:t>Yes — and measured</w:t>
            </w:r>
          </w:p>
        </w:tc>
        <w:tc>
          <w:tcPr>
            <w:tcW w:type="dxa" w:w="2232"/>
          </w:tcPr>
          <w:p>
            <w:pPr>
              <w:spacing w:after="40" w:before="40"/>
            </w:pPr>
            <w:r/>
            <w:r>
              <w:rPr>
                <w:sz w:val="17"/>
              </w:rPr>
              <w:t>Non-GLP pharmacology (4.2.1.1; CMR-2521)</w:t>
            </w:r>
          </w:p>
        </w:tc>
        <w:tc>
          <w:tcPr>
            <w:tcW w:type="dxa" w:w="2808"/>
          </w:tcPr>
          <w:p>
            <w:pPr>
              <w:spacing w:after="40" w:before="40"/>
            </w:pPr>
            <w:r/>
            <w:r>
              <w:rPr>
                <w:sz w:val="17"/>
              </w:rPr>
              <w:t>On-target lowering and durability only; no neurobehavioral or peripheral-nerve endpoint; confounded (Section 5)</w:t>
            </w:r>
          </w:p>
        </w:tc>
      </w:tr>
    </w:tbl>
    <w:p/>
    <w:p>
      <w:pPr>
        <w:pStyle w:val="Heading2"/>
      </w:pPr>
      <w:r>
        <w:t>2.3 Statements Nonclinical makes without qualification</w:t>
      </w:r>
    </w:p>
    <w:p>
      <w:r>
        <w:rPr>
          <w:b/>
        </w:rPr>
        <w:t xml:space="preserve">Every safety margin carried in IND 167326 is a non-hybridization margin — platform chemistry, formulation and procedure. </w:t>
      </w:r>
      <w:r>
        <w:rPr>
          <w:b w:val="0"/>
        </w:rPr>
        <w:t>It reports on the tolerability of an exNA-scaffold divalent siRNA delivered by lumbar intrathecal bolus in aCSF with magnesium conditioning, and on the tolerability of the intrathecal procedure itself. It does not report on the consequences of lowering PrP.</w:t>
      </w:r>
    </w:p>
    <w:p>
      <w:r>
        <w:rPr>
          <w:b/>
        </w:rPr>
        <w:t xml:space="preserve">Neither species used for toxicity testing was ever tested for on-target lowering. </w:t>
      </w:r>
      <w:r>
        <w:rPr>
          <w:b w:val="0"/>
        </w:rPr>
        <w:t>This is not merely an absence of pharmacologic activity: no PrP or PRNP endpoint was attempted. A full-text search of both GLP reports returns zero occurrences of ELISA, mRNA, qPCR, or target engagement. There is therefore no dataset in the IND — not a weak one, not an indirect one — from which an on-target margin could be computed.</w:t>
      </w:r>
    </w:p>
    <w:p>
      <w:r>
        <w:rPr>
          <w:b/>
        </w:rPr>
        <w:t xml:space="preserve">The only sequence-matched, PD-measured dataset in the program is a non-GLP humanized-mouse pharmacology package with no neurobehavioral endpoint. </w:t>
      </w:r>
      <w:r>
        <w:rPr>
          <w:b w:val="0"/>
        </w:rPr>
        <w:t>It establishes that the molecule lowers PRNP and PrP and how long the effect lasts. It does not establish that lowering is tolerated.</w:t>
      </w:r>
    </w:p>
    <w:p>
      <w:pPr>
        <w:pStyle w:val="Heading2"/>
      </w:pPr>
      <w:r>
        <w:t>2.4 Off-target (hybridization-dependent) assessment — verified, with one qualifier and one gap</w:t>
      </w:r>
    </w:p>
    <w:p>
      <w:r>
        <w:rPr>
          <w:b w:val="0"/>
          <w:i w:val="0"/>
        </w:rPr>
        <w:t>The human BLAST record (raw_data/off_targets/E90AWU40016-homo-sapiens.csv; 3,832 HSPs across 3,194 transcripts) was re-analyzed independently. Restricted to guide-accessible plus-strand hits, the mismatch distribution is: 0 mismatches — PRNP only (1 transcript); 2 mismatches — FURIN and ZKSCAN3; 3 mismatches — 14; 4 — 60; 5 — 70. This reproduces Table 1 of 4.2.1.2 exactly, and 4.2.1.2 is defensible as written.</w:t>
      </w:r>
    </w:p>
    <w:p>
      <w:r>
        <w:rPr>
          <w:b/>
        </w:rPr>
        <w:t xml:space="preserve">Qualifier that must be stated if the analysis is re-run on inspection. </w:t>
      </w:r>
      <w:r>
        <w:rPr>
          <w:b w:val="0"/>
        </w:rPr>
        <w:t>Four transcripts (PHAF1 NM_025187, PHF10, RORA, B4GALNT2) show 15/16 identity — apparently a single mismatch — but the Hsp_hit-frame field is negative: these are minus-strand hits, which the antisense guide cannot engage. An analyst who filters on identity without filtering on orientation will conclude that 4.2.1.2 omitted a one-mismatch off-target. The orientation filter is the reason it did not, and the method section already states it (refseq_select, megablast, +1/−1 scoring, top 100 hits filtered to antisense orientation). Say so pre-emptively.</w:t>
      </w:r>
    </w:p>
    <w:p>
      <w:r>
        <w:rPr>
          <w:b/>
        </w:rPr>
        <w:t xml:space="preserve">Gap. </w:t>
      </w:r>
      <w:r>
        <w:rPr>
          <w:b w:val="0"/>
        </w:rPr>
        <w:t>4.2.1.2 contains human, mouse, rat and dog off-target tables. There is no cynomolgus table anywhere on the desk. Because cynomolgus is now the pivotal species, a Macaca fascicularis transcriptome off-target analysis by the same method is required to interpret findings in that study as on-target versus off-target. This is a Section 7.10 deliverable, not an open question.</w:t>
      </w:r>
    </w:p>
    <w:p>
      <w:pPr>
        <w:pStyle w:val="Heading1"/>
      </w:pPr>
      <w:r>
        <w:t>3. Margin-by-margin reconciliation against primary records</w:t>
      </w:r>
    </w:p>
    <w:p>
      <w:pPr>
        <w:pStyle w:val="Heading2"/>
      </w:pPr>
      <w:r>
        <w:t>3.1 The margin construct as carried in the dossier</w:t>
      </w:r>
    </w:p>
    <w:p>
      <w:r>
        <w:rPr>
          <w:b w:val="0"/>
          <w:i w:val="0"/>
        </w:rPr>
        <w:t>Table 2 of the Nonclinical Overview (and Table 2.6.6.9-1 of the Toxicology Written Summary) computes margins on two bases: the concentration of drug in the injectate at the injection site, and the concentration after dilution into total CSF volume. Both were reproduced from the primary records. The human injection-site figures depend on a step that must be cited explicitly, because a reviewer who assumes the 10 mg/mL drug product is injected undiluted will compute a 4-fold smaller margin at 50 mg: the clinical protocol dilutes every dose to a fixed 20 mL in Elliotts B at the MGH Research Pharmacy (50 mg = 5 mL drug product + 15 mL diluent; 100 mg = 10 mL + 10 mL; 200 mg = 20 mL undiluted). The human injection-site concentrations of 2.5, 5.0 and 10.0 mg/mL are therefore correct as carried.</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2880"/>
          </w:tcPr>
          <w:p>
            <w:pPr>
              <w:spacing w:after="40" w:before="40"/>
            </w:pPr>
            <w:r/>
            <w:r>
              <w:rPr>
                <w:b/>
                <w:sz w:val="17"/>
              </w:rPr>
              <w:t>Parameter</w:t>
            </w:r>
          </w:p>
        </w:tc>
        <w:tc>
          <w:tcPr>
            <w:tcW w:type="dxa" w:w="1944"/>
          </w:tcPr>
          <w:p>
            <w:pPr>
              <w:spacing w:after="40" w:before="40"/>
            </w:pPr>
            <w:r/>
            <w:r>
              <w:rPr>
                <w:b/>
                <w:sz w:val="17"/>
              </w:rPr>
              <w:t>Rat (A-703-01)</w:t>
            </w:r>
          </w:p>
        </w:tc>
        <w:tc>
          <w:tcPr>
            <w:tcW w:type="dxa" w:w="1944"/>
          </w:tcPr>
          <w:p>
            <w:pPr>
              <w:spacing w:after="40" w:before="40"/>
            </w:pPr>
            <w:r/>
            <w:r>
              <w:rPr>
                <w:b/>
                <w:sz w:val="17"/>
              </w:rPr>
              <w:t>Dog (A-703-02)</w:t>
            </w:r>
          </w:p>
        </w:tc>
        <w:tc>
          <w:tcPr>
            <w:tcW w:type="dxa" w:w="1656"/>
          </w:tcPr>
          <w:p>
            <w:pPr>
              <w:spacing w:after="40" w:before="40"/>
            </w:pPr>
            <w:r/>
            <w:r>
              <w:rPr>
                <w:b/>
                <w:sz w:val="17"/>
              </w:rPr>
              <w:t>Human 50 mg</w:t>
            </w:r>
          </w:p>
        </w:tc>
        <w:tc>
          <w:tcPr>
            <w:tcW w:type="dxa" w:w="1656"/>
          </w:tcPr>
          <w:p>
            <w:pPr>
              <w:spacing w:after="40" w:before="40"/>
            </w:pPr>
            <w:r/>
            <w:r>
              <w:rPr>
                <w:b/>
                <w:sz w:val="17"/>
              </w:rPr>
              <w:t>Human 200 mg</w:t>
            </w:r>
          </w:p>
        </w:tc>
      </w:tr>
      <w:tr>
        <w:tc>
          <w:tcPr>
            <w:tcW w:type="dxa" w:w="2880"/>
          </w:tcPr>
          <w:p>
            <w:pPr>
              <w:spacing w:after="40" w:before="40"/>
            </w:pPr>
            <w:r/>
            <w:r>
              <w:rPr>
                <w:sz w:val="17"/>
              </w:rPr>
              <w:t>CSF volume (mL) — literature (Emami)</w:t>
            </w:r>
          </w:p>
        </w:tc>
        <w:tc>
          <w:tcPr>
            <w:tcW w:type="dxa" w:w="1944"/>
          </w:tcPr>
          <w:p>
            <w:pPr>
              <w:spacing w:after="40" w:before="40"/>
            </w:pPr>
            <w:r/>
            <w:r>
              <w:rPr>
                <w:sz w:val="17"/>
              </w:rPr>
              <w:t>0.25</w:t>
            </w:r>
          </w:p>
        </w:tc>
        <w:tc>
          <w:tcPr>
            <w:tcW w:type="dxa" w:w="1944"/>
          </w:tcPr>
          <w:p>
            <w:pPr>
              <w:spacing w:after="40" w:before="40"/>
            </w:pPr>
            <w:r/>
            <w:r>
              <w:rPr>
                <w:sz w:val="17"/>
              </w:rPr>
              <w:t>16</w:t>
            </w:r>
          </w:p>
        </w:tc>
        <w:tc>
          <w:tcPr>
            <w:tcW w:type="dxa" w:w="1656"/>
          </w:tcPr>
          <w:p>
            <w:pPr>
              <w:spacing w:after="40" w:before="40"/>
            </w:pPr>
            <w:r/>
            <w:r>
              <w:rPr>
                <w:sz w:val="17"/>
              </w:rPr>
              <w:t>130</w:t>
            </w:r>
          </w:p>
        </w:tc>
        <w:tc>
          <w:tcPr>
            <w:tcW w:type="dxa" w:w="1656"/>
          </w:tcPr>
          <w:p>
            <w:pPr>
              <w:spacing w:after="40" w:before="40"/>
            </w:pPr>
            <w:r/>
            <w:r>
              <w:rPr>
                <w:sz w:val="17"/>
              </w:rPr>
              <w:t>130</w:t>
            </w:r>
          </w:p>
        </w:tc>
      </w:tr>
      <w:tr>
        <w:tc>
          <w:tcPr>
            <w:tcW w:type="dxa" w:w="2880"/>
          </w:tcPr>
          <w:p>
            <w:pPr>
              <w:spacing w:after="40" w:before="40"/>
            </w:pPr>
            <w:r/>
            <w:r>
              <w:rPr>
                <w:sz w:val="17"/>
              </w:rPr>
              <w:t>Injected volume (mL)</w:t>
            </w:r>
          </w:p>
        </w:tc>
        <w:tc>
          <w:tcPr>
            <w:tcW w:type="dxa" w:w="1944"/>
          </w:tcPr>
          <w:p>
            <w:pPr>
              <w:spacing w:after="40" w:before="40"/>
            </w:pPr>
            <w:r/>
            <w:r>
              <w:rPr>
                <w:sz w:val="17"/>
              </w:rPr>
              <w:t>0.03</w:t>
            </w:r>
          </w:p>
        </w:tc>
        <w:tc>
          <w:tcPr>
            <w:tcW w:type="dxa" w:w="1944"/>
          </w:tcPr>
          <w:p>
            <w:pPr>
              <w:spacing w:after="40" w:before="40"/>
            </w:pPr>
            <w:r/>
            <w:r>
              <w:rPr>
                <w:sz w:val="17"/>
              </w:rPr>
              <w:t>3</w:t>
            </w:r>
          </w:p>
        </w:tc>
        <w:tc>
          <w:tcPr>
            <w:tcW w:type="dxa" w:w="1656"/>
          </w:tcPr>
          <w:p>
            <w:pPr>
              <w:spacing w:after="40" w:before="40"/>
            </w:pPr>
            <w:r/>
            <w:r>
              <w:rPr>
                <w:sz w:val="17"/>
              </w:rPr>
              <w:t>20 (after dilution)</w:t>
            </w:r>
          </w:p>
        </w:tc>
        <w:tc>
          <w:tcPr>
            <w:tcW w:type="dxa" w:w="1656"/>
          </w:tcPr>
          <w:p>
            <w:pPr>
              <w:spacing w:after="40" w:before="40"/>
            </w:pPr>
            <w:r/>
            <w:r>
              <w:rPr>
                <w:sz w:val="17"/>
              </w:rPr>
              <w:t>20</w:t>
            </w:r>
          </w:p>
        </w:tc>
      </w:tr>
      <w:tr>
        <w:tc>
          <w:tcPr>
            <w:tcW w:type="dxa" w:w="2880"/>
          </w:tcPr>
          <w:p>
            <w:pPr>
              <w:spacing w:after="40" w:before="40"/>
            </w:pPr>
            <w:r/>
            <w:r>
              <w:rPr>
                <w:sz w:val="17"/>
              </w:rPr>
              <w:t>Dose (mg)</w:t>
            </w:r>
          </w:p>
        </w:tc>
        <w:tc>
          <w:tcPr>
            <w:tcW w:type="dxa" w:w="1944"/>
          </w:tcPr>
          <w:p>
            <w:pPr>
              <w:spacing w:after="40" w:before="40"/>
            </w:pPr>
            <w:r/>
            <w:r>
              <w:rPr>
                <w:sz w:val="17"/>
              </w:rPr>
              <w:t>3.0 nominal</w:t>
            </w:r>
          </w:p>
        </w:tc>
        <w:tc>
          <w:tcPr>
            <w:tcW w:type="dxa" w:w="1944"/>
          </w:tcPr>
          <w:p>
            <w:pPr>
              <w:spacing w:after="40" w:before="40"/>
            </w:pPr>
            <w:r/>
            <w:r>
              <w:rPr>
                <w:sz w:val="17"/>
              </w:rPr>
              <w:t>200</w:t>
            </w:r>
          </w:p>
        </w:tc>
        <w:tc>
          <w:tcPr>
            <w:tcW w:type="dxa" w:w="1656"/>
          </w:tcPr>
          <w:p>
            <w:pPr>
              <w:spacing w:after="40" w:before="40"/>
            </w:pPr>
            <w:r/>
            <w:r>
              <w:rPr>
                <w:sz w:val="17"/>
              </w:rPr>
              <w:t>50</w:t>
            </w:r>
          </w:p>
        </w:tc>
        <w:tc>
          <w:tcPr>
            <w:tcW w:type="dxa" w:w="1656"/>
          </w:tcPr>
          <w:p>
            <w:pPr>
              <w:spacing w:after="40" w:before="40"/>
            </w:pPr>
            <w:r/>
            <w:r>
              <w:rPr>
                <w:sz w:val="17"/>
              </w:rPr>
              <w:t>200</w:t>
            </w:r>
          </w:p>
        </w:tc>
      </w:tr>
      <w:tr>
        <w:tc>
          <w:tcPr>
            <w:tcW w:type="dxa" w:w="2880"/>
          </w:tcPr>
          <w:p>
            <w:pPr>
              <w:spacing w:after="40" w:before="40"/>
            </w:pPr>
            <w:r/>
            <w:r>
              <w:rPr>
                <w:sz w:val="17"/>
              </w:rPr>
              <w:t>Injection-site concentration (mg/mL)</w:t>
            </w:r>
          </w:p>
        </w:tc>
        <w:tc>
          <w:tcPr>
            <w:tcW w:type="dxa" w:w="1944"/>
          </w:tcPr>
          <w:p>
            <w:pPr>
              <w:spacing w:after="40" w:before="40"/>
            </w:pPr>
            <w:r/>
            <w:r>
              <w:rPr>
                <w:sz w:val="17"/>
              </w:rPr>
              <w:t>100.0 nominal</w:t>
            </w:r>
          </w:p>
        </w:tc>
        <w:tc>
          <w:tcPr>
            <w:tcW w:type="dxa" w:w="1944"/>
          </w:tcPr>
          <w:p>
            <w:pPr>
              <w:spacing w:after="40" w:before="40"/>
            </w:pPr>
            <w:r/>
            <w:r>
              <w:rPr>
                <w:sz w:val="17"/>
              </w:rPr>
              <w:t>66.7</w:t>
            </w:r>
          </w:p>
        </w:tc>
        <w:tc>
          <w:tcPr>
            <w:tcW w:type="dxa" w:w="1656"/>
          </w:tcPr>
          <w:p>
            <w:pPr>
              <w:spacing w:after="40" w:before="40"/>
            </w:pPr>
            <w:r/>
            <w:r>
              <w:rPr>
                <w:sz w:val="17"/>
              </w:rPr>
              <w:t>2.5</w:t>
            </w:r>
          </w:p>
        </w:tc>
        <w:tc>
          <w:tcPr>
            <w:tcW w:type="dxa" w:w="1656"/>
          </w:tcPr>
          <w:p>
            <w:pPr>
              <w:spacing w:after="40" w:before="40"/>
            </w:pPr>
            <w:r/>
            <w:r>
              <w:rPr>
                <w:sz w:val="17"/>
              </w:rPr>
              <w:t>10.0</w:t>
            </w:r>
          </w:p>
        </w:tc>
      </w:tr>
      <w:tr>
        <w:tc>
          <w:tcPr>
            <w:tcW w:type="dxa" w:w="2880"/>
          </w:tcPr>
          <w:p>
            <w:pPr>
              <w:spacing w:after="40" w:before="40"/>
            </w:pPr>
            <w:r/>
            <w:r>
              <w:rPr>
                <w:sz w:val="17"/>
              </w:rPr>
              <w:t>Concentration in total CSF (mg/mL)</w:t>
            </w:r>
          </w:p>
        </w:tc>
        <w:tc>
          <w:tcPr>
            <w:tcW w:type="dxa" w:w="1944"/>
          </w:tcPr>
          <w:p>
            <w:pPr>
              <w:spacing w:after="40" w:before="40"/>
            </w:pPr>
            <w:r/>
            <w:r>
              <w:rPr>
                <w:sz w:val="17"/>
              </w:rPr>
              <w:t>12.0</w:t>
            </w:r>
          </w:p>
        </w:tc>
        <w:tc>
          <w:tcPr>
            <w:tcW w:type="dxa" w:w="1944"/>
          </w:tcPr>
          <w:p>
            <w:pPr>
              <w:spacing w:after="40" w:before="40"/>
            </w:pPr>
            <w:r/>
            <w:r>
              <w:rPr>
                <w:sz w:val="17"/>
              </w:rPr>
              <w:t>12.5</w:t>
            </w:r>
          </w:p>
        </w:tc>
        <w:tc>
          <w:tcPr>
            <w:tcW w:type="dxa" w:w="1656"/>
          </w:tcPr>
          <w:p>
            <w:pPr>
              <w:spacing w:after="40" w:before="40"/>
            </w:pPr>
            <w:r/>
            <w:r>
              <w:rPr>
                <w:sz w:val="17"/>
              </w:rPr>
              <w:t>0.385</w:t>
            </w:r>
          </w:p>
        </w:tc>
        <w:tc>
          <w:tcPr>
            <w:tcW w:type="dxa" w:w="1656"/>
          </w:tcPr>
          <w:p>
            <w:pPr>
              <w:spacing w:after="40" w:before="40"/>
            </w:pPr>
            <w:r/>
            <w:r>
              <w:rPr>
                <w:sz w:val="17"/>
              </w:rPr>
              <w:t>1.538</w:t>
            </w:r>
          </w:p>
        </w:tc>
      </w:tr>
      <w:tr>
        <w:tc>
          <w:tcPr>
            <w:tcW w:type="dxa" w:w="2880"/>
          </w:tcPr>
          <w:p>
            <w:pPr>
              <w:spacing w:after="40" w:before="40"/>
            </w:pPr>
            <w:r/>
            <w:r>
              <w:rPr>
                <w:sz w:val="17"/>
              </w:rPr>
              <w:t>Margin, injection site</w:t>
            </w:r>
          </w:p>
        </w:tc>
        <w:tc>
          <w:tcPr>
            <w:tcW w:type="dxa" w:w="1944"/>
          </w:tcPr>
          <w:p>
            <w:pPr>
              <w:spacing w:after="40" w:before="40"/>
            </w:pPr>
            <w:r/>
            <w:r>
              <w:rPr>
                <w:sz w:val="17"/>
              </w:rPr>
              <w:t>40.0× (vs 50 mg); 10.0× (vs 200 mg)</w:t>
            </w:r>
          </w:p>
        </w:tc>
        <w:tc>
          <w:tcPr>
            <w:tcW w:type="dxa" w:w="1944"/>
          </w:tcPr>
          <w:p>
            <w:pPr>
              <w:spacing w:after="40" w:before="40"/>
            </w:pPr>
            <w:r/>
            <w:r>
              <w:rPr>
                <w:sz w:val="17"/>
              </w:rPr>
              <w:t>26.7×; 6.7×</w:t>
            </w:r>
          </w:p>
        </w:tc>
        <w:tc>
          <w:tcPr>
            <w:tcW w:type="dxa" w:w="1656"/>
          </w:tcPr>
          <w:p>
            <w:pPr>
              <w:spacing w:after="40" w:before="40"/>
            </w:pPr>
            <w:r/>
            <w:r>
              <w:rPr>
                <w:sz w:val="17"/>
              </w:rPr>
              <w:t>—</w:t>
            </w:r>
          </w:p>
        </w:tc>
        <w:tc>
          <w:tcPr>
            <w:tcW w:type="dxa" w:w="1656"/>
          </w:tcPr>
          <w:p>
            <w:pPr>
              <w:spacing w:after="40" w:before="40"/>
            </w:pPr>
            <w:r/>
            <w:r>
              <w:rPr>
                <w:sz w:val="17"/>
              </w:rPr>
              <w:t>—</w:t>
            </w:r>
          </w:p>
        </w:tc>
      </w:tr>
      <w:tr>
        <w:tc>
          <w:tcPr>
            <w:tcW w:type="dxa" w:w="2880"/>
          </w:tcPr>
          <w:p>
            <w:pPr>
              <w:spacing w:after="40" w:before="40"/>
            </w:pPr>
            <w:r/>
            <w:r>
              <w:rPr>
                <w:sz w:val="17"/>
              </w:rPr>
              <w:t>Margin, total CSF</w:t>
            </w:r>
          </w:p>
        </w:tc>
        <w:tc>
          <w:tcPr>
            <w:tcW w:type="dxa" w:w="1944"/>
          </w:tcPr>
          <w:p>
            <w:pPr>
              <w:spacing w:after="40" w:before="40"/>
            </w:pPr>
            <w:r/>
            <w:r>
              <w:rPr>
                <w:sz w:val="17"/>
              </w:rPr>
              <w:t>31.2×; 7.8×</w:t>
            </w:r>
          </w:p>
        </w:tc>
        <w:tc>
          <w:tcPr>
            <w:tcW w:type="dxa" w:w="1944"/>
          </w:tcPr>
          <w:p>
            <w:pPr>
              <w:spacing w:after="40" w:before="40"/>
            </w:pPr>
            <w:r/>
            <w:r>
              <w:rPr>
                <w:sz w:val="17"/>
              </w:rPr>
              <w:t>32.5×; 8.1×</w:t>
            </w:r>
          </w:p>
        </w:tc>
        <w:tc>
          <w:tcPr>
            <w:tcW w:type="dxa" w:w="1656"/>
          </w:tcPr>
          <w:p>
            <w:pPr>
              <w:spacing w:after="40" w:before="40"/>
            </w:pPr>
            <w:r/>
            <w:r>
              <w:rPr>
                <w:sz w:val="17"/>
              </w:rPr>
              <w:t>—</w:t>
            </w:r>
          </w:p>
        </w:tc>
        <w:tc>
          <w:tcPr>
            <w:tcW w:type="dxa" w:w="1656"/>
          </w:tcPr>
          <w:p>
            <w:pPr>
              <w:spacing w:after="40" w:before="40"/>
            </w:pPr>
            <w:r/>
            <w:r>
              <w:rPr>
                <w:sz w:val="17"/>
              </w:rPr>
              <w:t>—</w:t>
            </w:r>
          </w:p>
        </w:tc>
      </w:tr>
    </w:tbl>
    <w:p/>
    <w:p>
      <w:pPr>
        <w:spacing w:after="200"/>
      </w:pPr>
      <w:r>
        <w:rPr>
          <w:i/>
          <w:sz w:val="18"/>
        </w:rPr>
        <w:t>All eight margin values were recomputed from the stated inputs and are arithmetically correct. The 200 mg column applies to 9 of the 15 subjects in the presymptomatic protocol; the 50 mg column to 3.</w:t>
      </w:r>
    </w:p>
    <w:p>
      <w:pPr>
        <w:pStyle w:val="Heading2"/>
      </w:pPr>
      <w:r>
        <w:t>3.2 Claim-level verdicts</w:t>
      </w:r>
    </w:p>
    <w:p>
      <w:r>
        <w:rPr>
          <w:b w:val="0"/>
          <w:i w:val="0"/>
        </w:rPr>
        <w:t>Verdicts: DEFENSIBLE — may be stated as written. RESTATE — the number holds but its label or basis must change. WITHDRAW — remove from the response and from the documents.</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088"/>
          </w:tcPr>
          <w:p>
            <w:pPr>
              <w:spacing w:after="40" w:before="40"/>
            </w:pPr>
            <w:r/>
            <w:r>
              <w:rPr>
                <w:b/>
                <w:sz w:val="16"/>
              </w:rPr>
              <w:t>Claim as carried</w:t>
            </w:r>
          </w:p>
        </w:tc>
        <w:tc>
          <w:tcPr>
            <w:tcW w:type="dxa" w:w="1512"/>
          </w:tcPr>
          <w:p>
            <w:pPr>
              <w:spacing w:after="40" w:before="40"/>
            </w:pPr>
            <w:r/>
            <w:r>
              <w:rPr>
                <w:b/>
                <w:sz w:val="16"/>
              </w:rPr>
              <w:t>Where</w:t>
            </w:r>
          </w:p>
        </w:tc>
        <w:tc>
          <w:tcPr>
            <w:tcW w:type="dxa" w:w="3168"/>
          </w:tcPr>
          <w:p>
            <w:pPr>
              <w:spacing w:after="40" w:before="40"/>
            </w:pPr>
            <w:r/>
            <w:r>
              <w:rPr>
                <w:b/>
                <w:sz w:val="16"/>
              </w:rPr>
              <w:t>Primary record checked</w:t>
            </w:r>
          </w:p>
        </w:tc>
        <w:tc>
          <w:tcPr>
            <w:tcW w:type="dxa" w:w="3312"/>
          </w:tcPr>
          <w:p>
            <w:pPr>
              <w:spacing w:after="40" w:before="40"/>
            </w:pPr>
            <w:r/>
            <w:r>
              <w:rPr>
                <w:b/>
                <w:sz w:val="16"/>
              </w:rPr>
              <w:t>Verdict</w:t>
            </w:r>
          </w:p>
        </w:tc>
      </w:tr>
      <w:tr>
        <w:tc>
          <w:tcPr>
            <w:tcW w:type="dxa" w:w="2088"/>
          </w:tcPr>
          <w:p>
            <w:pPr>
              <w:spacing w:after="40" w:before="40"/>
            </w:pPr>
            <w:r/>
            <w:r>
              <w:rPr>
                <w:sz w:val="16"/>
              </w:rPr>
              <w:t>"26.7-fold to 40.0-fold" margin at the 50 mg starting dose</w:t>
            </w:r>
          </w:p>
        </w:tc>
        <w:tc>
          <w:tcPr>
            <w:tcW w:type="dxa" w:w="1512"/>
          </w:tcPr>
          <w:p>
            <w:pPr>
              <w:spacing w:after="40" w:before="40"/>
            </w:pPr>
            <w:r/>
            <w:r>
              <w:rPr>
                <w:sz w:val="16"/>
              </w:rPr>
              <w:t>2.4.1; 2.4; protocol ("at least 25-fold")</w:t>
            </w:r>
          </w:p>
        </w:tc>
        <w:tc>
          <w:tcPr>
            <w:tcW w:type="dxa" w:w="3168"/>
          </w:tcPr>
          <w:p>
            <w:pPr>
              <w:spacing w:after="40" w:before="40"/>
            </w:pPr>
            <w:r/>
            <w:r>
              <w:rPr>
                <w:sz w:val="16"/>
              </w:rPr>
              <w:t>A-703-02 §7.1 (all concentrations within ±10% of nominal, RSD &lt;5%, homogeneity within 10%); A-703-01 §7.1 Table 13; clinical protocol dose-preparation table</w:t>
            </w:r>
          </w:p>
        </w:tc>
        <w:tc>
          <w:tcPr>
            <w:tcW w:type="dxa" w:w="3312"/>
          </w:tcPr>
          <w:p>
            <w:pPr>
              <w:spacing w:after="40" w:before="40"/>
            </w:pPr>
            <w:r/>
            <w:r>
              <w:rPr>
                <w:sz w:val="16"/>
              </w:rPr>
              <w:t>DEFENSIBLE as arithmetic — RESTATE as label. Must read: non-hybridization (platform chemistry and procedure) margin, injection-site and CSF-dilution basis, in species not pharmacologically responsive to 2439-exNA.</w:t>
            </w:r>
          </w:p>
        </w:tc>
      </w:tr>
      <w:tr>
        <w:tc>
          <w:tcPr>
            <w:tcW w:type="dxa" w:w="2088"/>
          </w:tcPr>
          <w:p>
            <w:pPr>
              <w:spacing w:after="40" w:before="40"/>
            </w:pPr>
            <w:r/>
            <w:r>
              <w:rPr>
                <w:sz w:val="16"/>
              </w:rPr>
              <w:t>"&gt;6-fold" / "6-10-fold" margin at 200 mg</w:t>
            </w:r>
          </w:p>
        </w:tc>
        <w:tc>
          <w:tcPr>
            <w:tcW w:type="dxa" w:w="1512"/>
          </w:tcPr>
          <w:p>
            <w:pPr>
              <w:spacing w:after="40" w:before="40"/>
            </w:pPr>
            <w:r/>
            <w:r>
              <w:rPr>
                <w:sz w:val="16"/>
              </w:rPr>
              <w:t>2.4; 2.6.6 ("6-10-fold"); protocol ("at least 6.7-fold by all four")</w:t>
            </w:r>
          </w:p>
        </w:tc>
        <w:tc>
          <w:tcPr>
            <w:tcW w:type="dxa" w:w="3168"/>
          </w:tcPr>
          <w:p>
            <w:pPr>
              <w:spacing w:after="40" w:before="40"/>
            </w:pPr>
            <w:r/>
            <w:r>
              <w:rPr>
                <w:sz w:val="16"/>
              </w:rPr>
              <w:t>Same as above; minimum of the four columns is 6.7×</w:t>
            </w:r>
          </w:p>
        </w:tc>
        <w:tc>
          <w:tcPr>
            <w:tcW w:type="dxa" w:w="3312"/>
          </w:tcPr>
          <w:p>
            <w:pPr>
              <w:spacing w:after="40" w:before="40"/>
            </w:pPr>
            <w:r/>
            <w:r>
              <w:rPr>
                <w:sz w:val="16"/>
              </w:rPr>
              <w:t>DEFENSIBLE as arithmetic — RESTATE as label, as above. All three phrasings are internally consistent and conservative.</w:t>
            </w:r>
          </w:p>
        </w:tc>
      </w:tr>
      <w:tr>
        <w:tc>
          <w:tcPr>
            <w:tcW w:type="dxa" w:w="2088"/>
          </w:tcPr>
          <w:p>
            <w:pPr>
              <w:spacing w:after="40" w:before="40"/>
            </w:pPr>
            <w:r/>
            <w:r>
              <w:rPr>
                <w:sz w:val="16"/>
              </w:rPr>
              <w:t>Dog-derived margins: 26.7× injection site, 32.5× CSF (NOAEL 200 mg)</w:t>
            </w:r>
          </w:p>
        </w:tc>
        <w:tc>
          <w:tcPr>
            <w:tcW w:type="dxa" w:w="1512"/>
          </w:tcPr>
          <w:p>
            <w:pPr>
              <w:spacing w:after="40" w:before="40"/>
            </w:pPr>
            <w:r/>
            <w:r>
              <w:rPr>
                <w:sz w:val="16"/>
              </w:rPr>
              <w:t>Table 2; Table 2.6.6.9-1</w:t>
            </w:r>
          </w:p>
        </w:tc>
        <w:tc>
          <w:tcPr>
            <w:tcW w:type="dxa" w:w="3168"/>
          </w:tcPr>
          <w:p>
            <w:pPr>
              <w:spacing w:after="40" w:before="40"/>
            </w:pPr>
            <w:r/>
            <w:r>
              <w:rPr>
                <w:sz w:val="16"/>
              </w:rPr>
              <w:t>A-703-02: GLP, 48 dogs, 0/20/60/200 mg in 3 mL, dose verification within ±10%, NOAEL 200 mg</w:t>
            </w:r>
          </w:p>
        </w:tc>
        <w:tc>
          <w:tcPr>
            <w:tcW w:type="dxa" w:w="3312"/>
          </w:tcPr>
          <w:p>
            <w:pPr>
              <w:spacing w:after="40" w:before="40"/>
            </w:pPr>
            <w:r/>
            <w:r>
              <w:rPr>
                <w:sz w:val="16"/>
              </w:rPr>
              <w:t>DEFENSIBLE (with the Section 2.3 label). This is the strongest margin in the dossier because the delivered dose is analytically verified. It remains a non-hybridization margin.</w:t>
            </w:r>
          </w:p>
        </w:tc>
      </w:tr>
      <w:tr>
        <w:tc>
          <w:tcPr>
            <w:tcW w:type="dxa" w:w="2088"/>
          </w:tcPr>
          <w:p>
            <w:pPr>
              <w:spacing w:after="40" w:before="40"/>
            </w:pPr>
            <w:r/>
            <w:r>
              <w:rPr>
                <w:sz w:val="16"/>
              </w:rPr>
              <w:t>Rat-derived margins: 40.0× injection site, 31.2× CSF (NOAEL 3.0 mg)</w:t>
            </w:r>
          </w:p>
        </w:tc>
        <w:tc>
          <w:tcPr>
            <w:tcW w:type="dxa" w:w="1512"/>
          </w:tcPr>
          <w:p>
            <w:pPr>
              <w:spacing w:after="40" w:before="40"/>
            </w:pPr>
            <w:r/>
            <w:r>
              <w:rPr>
                <w:sz w:val="16"/>
              </w:rPr>
              <w:t>Table 2; Table 2.6.6.9-1; Investigator’s Brochure ("3 mg in rat")</w:t>
            </w:r>
          </w:p>
        </w:tc>
        <w:tc>
          <w:tcPr>
            <w:tcW w:type="dxa" w:w="3168"/>
          </w:tcPr>
          <w:p>
            <w:pPr>
              <w:spacing w:after="40" w:before="40"/>
            </w:pPr>
            <w:r/>
            <w:r>
              <w:rPr>
                <w:sz w:val="16"/>
              </w:rPr>
              <w:t>A-703-01 §7.1 Table 13: nominal 10.0 / 33.3 / 100.0 mg/mL analyzed at 12.23 / 40.85 / 116.40 mg/mL = 122.3% / 122.7% / 116.4% of nominal — all three outside the ±10% acceptance criterion; CV 4.2 / 4.4 / 7.0%; calculated delivered doses 0.367 / 1.23 / 3.49 mg at 0.03 mL</w:t>
            </w:r>
          </w:p>
        </w:tc>
        <w:tc>
          <w:tcPr>
            <w:tcW w:type="dxa" w:w="3312"/>
          </w:tcPr>
          <w:p>
            <w:pPr>
              <w:spacing w:after="40" w:before="40"/>
            </w:pPr>
            <w:r/>
            <w:r>
              <w:rPr>
                <w:sz w:val="16"/>
              </w:rPr>
              <w:t>RESTATE. The dose actually delivered at the NOAEL was 3.49 mg from a formulation 16.4% above nominal. State the NOAEL as "3.0 mg nominal (3.49 mg by formulation analysis)" and footnote the out-of-specification deviation. The nominal-based margins (40.0×, 31.2×) are the conservative choice and may be retained on that footing; the analysis-based values would be 46.6× and 36.3×. Never present 3.0 mg as an analytically verified dose.</w:t>
            </w:r>
          </w:p>
        </w:tc>
      </w:tr>
      <w:tr>
        <w:tc>
          <w:tcPr>
            <w:tcW w:type="dxa" w:w="2088"/>
          </w:tcPr>
          <w:p>
            <w:pPr>
              <w:spacing w:after="40" w:before="40"/>
            </w:pPr>
            <w:r/>
            <w:r>
              <w:rPr>
                <w:sz w:val="16"/>
              </w:rPr>
              <w:t>CSF-volume-scaled margins (31.2×, 32.5×, 7.8×, 8.1×)</w:t>
            </w:r>
          </w:p>
        </w:tc>
        <w:tc>
          <w:tcPr>
            <w:tcW w:type="dxa" w:w="1512"/>
          </w:tcPr>
          <w:p>
            <w:pPr>
              <w:spacing w:after="40" w:before="40"/>
            </w:pPr>
            <w:r/>
            <w:r>
              <w:rPr>
                <w:sz w:val="16"/>
              </w:rPr>
              <w:t>Table 2; 2.4.1</w:t>
            </w:r>
          </w:p>
        </w:tc>
        <w:tc>
          <w:tcPr>
            <w:tcW w:type="dxa" w:w="3168"/>
          </w:tcPr>
          <w:p>
            <w:pPr>
              <w:spacing w:after="40" w:before="40"/>
            </w:pPr>
            <w:r/>
            <w:r>
              <w:rPr>
                <w:sz w:val="16"/>
              </w:rPr>
              <w:t>CSF volumes of 0.25 / 16 / 130 mL are literature values (Emami et al. 2018/2023). No CSF volume was measured in A-703-01 or A-703-02.</w:t>
            </w:r>
          </w:p>
        </w:tc>
        <w:tc>
          <w:tcPr>
            <w:tcW w:type="dxa" w:w="3312"/>
          </w:tcPr>
          <w:p>
            <w:pPr>
              <w:spacing w:after="40" w:before="40"/>
            </w:pPr>
            <w:r/>
            <w:r>
              <w:rPr>
                <w:sz w:val="16"/>
              </w:rPr>
              <w:t>DEFENSIBLE WITH ATTRIBUTION. Cite the source in the table footnote and label the values as literature-derived allometric scaling, not measured. Do not describe them as exposure margins: no AUC- or Cₘₐₓ-based margin was computed in either study.</w:t>
            </w:r>
          </w:p>
        </w:tc>
      </w:tr>
      <w:tr>
        <w:tc>
          <w:tcPr>
            <w:tcW w:type="dxa" w:w="2088"/>
          </w:tcPr>
          <w:p>
            <w:pPr>
              <w:spacing w:after="40" w:before="40"/>
            </w:pPr>
            <w:r/>
            <w:r>
              <w:rPr>
                <w:sz w:val="16"/>
              </w:rPr>
              <w:t>Investigator’s Brochure: doses "~8 times higher than the maximum proposed human dose of 200 mg" on CSF-volume scaling</w:t>
            </w:r>
          </w:p>
        </w:tc>
        <w:tc>
          <w:tcPr>
            <w:tcW w:type="dxa" w:w="1512"/>
          </w:tcPr>
          <w:p>
            <w:pPr>
              <w:spacing w:after="40" w:before="40"/>
            </w:pPr>
            <w:r/>
            <w:r>
              <w:rPr>
                <w:sz w:val="16"/>
              </w:rPr>
              <w:t>IB 1.14.4</w:t>
            </w:r>
          </w:p>
        </w:tc>
        <w:tc>
          <w:tcPr>
            <w:tcW w:type="dxa" w:w="3168"/>
          </w:tcPr>
          <w:p>
            <w:pPr>
              <w:spacing w:after="40" w:before="40"/>
            </w:pPr>
            <w:r/>
            <w:r>
              <w:rPr>
                <w:sz w:val="16"/>
              </w:rPr>
              <w:t>Computes to 7.8× (rat) and 8.1× (dog)</w:t>
            </w:r>
          </w:p>
        </w:tc>
        <w:tc>
          <w:tcPr>
            <w:tcW w:type="dxa" w:w="3312"/>
          </w:tcPr>
          <w:p>
            <w:pPr>
              <w:spacing w:after="40" w:before="40"/>
            </w:pPr>
            <w:r/>
            <w:r>
              <w:rPr>
                <w:sz w:val="16"/>
              </w:rPr>
              <w:t>DEFENSIBLE, subject to the same rat nominal-dose footnote and the Section 2.3 label.</w:t>
            </w:r>
          </w:p>
        </w:tc>
      </w:tr>
      <w:tr>
        <w:tc>
          <w:tcPr>
            <w:tcW w:type="dxa" w:w="2088"/>
          </w:tcPr>
          <w:p>
            <w:pPr>
              <w:spacing w:after="40" w:before="40"/>
            </w:pPr>
            <w:r/>
            <w:r>
              <w:rPr>
                <w:sz w:val="16"/>
              </w:rPr>
              <w:t>A-703-03 MTD study as support for a ~8-fold margin at the maximum feasible clinical dose</w:t>
            </w:r>
          </w:p>
        </w:tc>
        <w:tc>
          <w:tcPr>
            <w:tcW w:type="dxa" w:w="1512"/>
          </w:tcPr>
          <w:p>
            <w:pPr>
              <w:spacing w:after="40" w:before="40"/>
            </w:pPr>
            <w:r/>
            <w:r>
              <w:rPr>
                <w:sz w:val="16"/>
              </w:rPr>
              <w:t>2.4.4; 2.6.6</w:t>
            </w:r>
          </w:p>
        </w:tc>
        <w:tc>
          <w:tcPr>
            <w:tcW w:type="dxa" w:w="3168"/>
          </w:tcPr>
          <w:p>
            <w:pPr>
              <w:spacing w:after="40" w:before="40"/>
            </w:pPr>
            <w:r/>
            <w:r>
              <w:rPr>
                <w:sz w:val="16"/>
              </w:rPr>
              <w:t>A-703-03 Summary Report (non-GLP): only Group 4 was dosed (200 mg at 66.7 mg/mL in 3 mL; 1 male, 1 female); 4-day observation; clinical pathology pre-test only; Groups 1–3 never dosed; "Results of the dose formulation analysis were not included in this summary report"</w:t>
            </w:r>
          </w:p>
        </w:tc>
        <w:tc>
          <w:tcPr>
            <w:tcW w:type="dxa" w:w="3312"/>
          </w:tcPr>
          <w:p>
            <w:pPr>
              <w:spacing w:after="40" w:before="40"/>
            </w:pPr>
            <w:r/>
            <w:r>
              <w:rPr>
                <w:sz w:val="16"/>
              </w:rPr>
              <w:t>WITHDRAW as independent support. Two animals, four days, no post-dose clinical pathology and unreported formulation analysis cannot carry a margin. Cite A-703-03 only for dose selection. The tolerability of 200 mg in dog is carried by A-703-02 (n=48, GLP) and needs no help from it.</w:t>
            </w:r>
          </w:p>
        </w:tc>
      </w:tr>
      <w:tr>
        <w:tc>
          <w:tcPr>
            <w:tcW w:type="dxa" w:w="2088"/>
          </w:tcPr>
          <w:p>
            <w:pPr>
              <w:spacing w:after="40" w:before="40"/>
            </w:pPr>
            <w:r/>
            <w:r>
              <w:rPr>
                <w:sz w:val="16"/>
              </w:rPr>
              <w:t>Any margin presented as informing the risk of PrP lowering, or as an on-target margin</w:t>
            </w:r>
          </w:p>
        </w:tc>
        <w:tc>
          <w:tcPr>
            <w:tcW w:type="dxa" w:w="1512"/>
          </w:tcPr>
          <w:p>
            <w:pPr>
              <w:spacing w:after="40" w:before="40"/>
            </w:pPr>
            <w:r/>
            <w:r>
              <w:rPr>
                <w:sz w:val="16"/>
              </w:rPr>
              <w:t>Cumulative effect of 2.4.1, 2.4.2.3, 2.6.2 and the IB read together</w:t>
            </w:r>
          </w:p>
        </w:tc>
        <w:tc>
          <w:tcPr>
            <w:tcW w:type="dxa" w:w="3168"/>
          </w:tcPr>
          <w:p>
            <w:pPr>
              <w:spacing w:after="40" w:before="40"/>
            </w:pPr>
            <w:r/>
            <w:r>
              <w:rPr>
                <w:sz w:val="16"/>
              </w:rPr>
              <w:t>A-703-01 and A-703-02 contain no PrP or PRNP endpoint (zero hits for ELISA / mRNA / qPCR / target engagement)</w:t>
            </w:r>
          </w:p>
        </w:tc>
        <w:tc>
          <w:tcPr>
            <w:tcW w:type="dxa" w:w="3312"/>
          </w:tcPr>
          <w:p>
            <w:pPr>
              <w:spacing w:after="40" w:before="40"/>
            </w:pPr>
            <w:r/>
            <w:r>
              <w:rPr>
                <w:sz w:val="16"/>
              </w:rPr>
              <w:t>WITHDRAW. No such margin exists. This is the finding FDA made, and the response should concede it in one sentence rather than defend against it.</w:t>
            </w:r>
          </w:p>
        </w:tc>
      </w:tr>
      <w:tr>
        <w:tc>
          <w:tcPr>
            <w:tcW w:type="dxa" w:w="2088"/>
          </w:tcPr>
          <w:p>
            <w:pPr>
              <w:spacing w:after="40" w:before="40"/>
            </w:pPr>
            <w:r/>
            <w:r>
              <w:rPr>
                <w:sz w:val="16"/>
              </w:rPr>
              <w:t>Cynomolgus safety margin (any value)</w:t>
            </w:r>
          </w:p>
        </w:tc>
        <w:tc>
          <w:tcPr>
            <w:tcW w:type="dxa" w:w="1512"/>
          </w:tcPr>
          <w:p>
            <w:pPr>
              <w:spacing w:after="40" w:before="40"/>
            </w:pPr>
            <w:r/>
            <w:r>
              <w:rPr>
                <w:sz w:val="16"/>
              </w:rPr>
              <w:t>Not currently claimed</w:t>
            </w:r>
          </w:p>
        </w:tc>
        <w:tc>
          <w:tcPr>
            <w:tcW w:type="dxa" w:w="3168"/>
          </w:tcPr>
          <w:p>
            <w:pPr>
              <w:spacing w:after="40" w:before="40"/>
            </w:pPr>
            <w:r/>
            <w:r>
              <w:rPr>
                <w:sz w:val="16"/>
              </w:rPr>
              <w:t>No cynomolgus CSF volume, body weight, exposure or off-target record exists on the desk</w:t>
            </w:r>
          </w:p>
        </w:tc>
        <w:tc>
          <w:tcPr>
            <w:tcW w:type="dxa" w:w="3312"/>
          </w:tcPr>
          <w:p>
            <w:pPr>
              <w:spacing w:after="40" w:before="40"/>
            </w:pPr>
            <w:r/>
            <w:r>
              <w:rPr>
                <w:sz w:val="16"/>
              </w:rPr>
              <w:t>MUST NOT BE STATED. See Section 7.10 for the bounded statement that is available today and the single input needed to replace it.</w:t>
            </w:r>
          </w:p>
        </w:tc>
      </w:tr>
    </w:tbl>
    <w:p/>
    <w:p>
      <w:pPr>
        <w:pStyle w:val="Heading2"/>
      </w:pPr>
      <w:r>
        <w:t>3.3 The dose-verification finding in full, because it will be inspected</w:t>
      </w:r>
    </w:p>
    <w:p>
      <w:r>
        <w:rPr>
          <w:b w:val="0"/>
          <w:i w:val="0"/>
        </w:rPr>
        <w:t>A-703-01 §7.1, Table 13 is the record that sets the rat margins. Every one of the three dose formulations was analyzed above the ±10% acceptance criterion, with tight within-formulation precision — the pattern of a systematic concentration bias, not of sampling error:</w:t>
      </w:r>
    </w:p>
    <w:tbl>
      <w:tblPr>
        <w:tblStyle w:val="TableGrid"/>
        <w:tblW w:type="auto" w:w="0"/>
        <w:jc w:val="center"/>
        <w:tblLook w:firstColumn="1" w:firstRow="1" w:lastColumn="0" w:lastRow="0" w:noHBand="0" w:noVBand="1" w:val="04A0"/>
      </w:tblPr>
      <w:tblGrid>
        <w:gridCol w:w="1224"/>
        <w:gridCol w:w="1224"/>
        <w:gridCol w:w="1224"/>
        <w:gridCol w:w="1224"/>
        <w:gridCol w:w="1224"/>
        <w:gridCol w:w="1224"/>
        <w:gridCol w:w="1224"/>
        <w:gridCol w:w="1224"/>
      </w:tblGrid>
      <w:tr>
        <w:tc>
          <w:tcPr>
            <w:tcW w:type="dxa" w:w="1080"/>
          </w:tcPr>
          <w:p>
            <w:pPr>
              <w:spacing w:after="40" w:before="40"/>
            </w:pPr>
            <w:r/>
            <w:r>
              <w:rPr>
                <w:b/>
                <w:sz w:val="17"/>
              </w:rPr>
              <w:t>Group</w:t>
            </w:r>
          </w:p>
        </w:tc>
        <w:tc>
          <w:tcPr>
            <w:tcW w:type="dxa" w:w="1368"/>
          </w:tcPr>
          <w:p>
            <w:pPr>
              <w:spacing w:after="40" w:before="40"/>
            </w:pPr>
            <w:r/>
            <w:r>
              <w:rPr>
                <w:b/>
                <w:sz w:val="17"/>
              </w:rPr>
              <w:t>Nominal (mg/mL)</w:t>
            </w:r>
          </w:p>
        </w:tc>
        <w:tc>
          <w:tcPr>
            <w:tcW w:type="dxa" w:w="1368"/>
          </w:tcPr>
          <w:p>
            <w:pPr>
              <w:spacing w:after="40" w:before="40"/>
            </w:pPr>
            <w:r/>
            <w:r>
              <w:rPr>
                <w:b/>
                <w:sz w:val="17"/>
              </w:rPr>
              <w:t>Analyzed (mg/mL)</w:t>
            </w:r>
          </w:p>
        </w:tc>
        <w:tc>
          <w:tcPr>
            <w:tcW w:type="dxa" w:w="1152"/>
          </w:tcPr>
          <w:p>
            <w:pPr>
              <w:spacing w:after="40" w:before="40"/>
            </w:pPr>
            <w:r/>
            <w:r>
              <w:rPr>
                <w:b/>
                <w:sz w:val="17"/>
              </w:rPr>
              <w:t>% of nominal</w:t>
            </w:r>
          </w:p>
        </w:tc>
        <w:tc>
          <w:tcPr>
            <w:tcW w:type="dxa" w:w="792"/>
          </w:tcPr>
          <w:p>
            <w:pPr>
              <w:spacing w:after="40" w:before="40"/>
            </w:pPr>
            <w:r/>
            <w:r>
              <w:rPr>
                <w:b/>
                <w:sz w:val="17"/>
              </w:rPr>
              <w:t>CV</w:t>
            </w:r>
          </w:p>
        </w:tc>
        <w:tc>
          <w:tcPr>
            <w:tcW w:type="dxa" w:w="576"/>
          </w:tcPr>
          <w:p>
            <w:pPr>
              <w:spacing w:after="40" w:before="40"/>
            </w:pPr>
            <w:r/>
            <w:r>
              <w:rPr>
                <w:b/>
                <w:sz w:val="17"/>
              </w:rPr>
              <w:t>n</w:t>
            </w:r>
          </w:p>
        </w:tc>
        <w:tc>
          <w:tcPr>
            <w:tcW w:type="dxa" w:w="1944"/>
          </w:tcPr>
          <w:p>
            <w:pPr>
              <w:spacing w:after="40" w:before="40"/>
            </w:pPr>
            <w:r/>
            <w:r>
              <w:rPr>
                <w:b/>
                <w:sz w:val="17"/>
              </w:rPr>
              <w:t>Nominal dose at 0.03 mL (mg)</w:t>
            </w:r>
          </w:p>
        </w:tc>
        <w:tc>
          <w:tcPr>
            <w:tcW w:type="dxa" w:w="1800"/>
          </w:tcPr>
          <w:p>
            <w:pPr>
              <w:spacing w:after="40" w:before="40"/>
            </w:pPr>
            <w:r/>
            <w:r>
              <w:rPr>
                <w:b/>
                <w:sz w:val="17"/>
              </w:rPr>
              <w:t>Delivered dose by analysis (mg)</w:t>
            </w:r>
          </w:p>
        </w:tc>
      </w:tr>
      <w:tr>
        <w:tc>
          <w:tcPr>
            <w:tcW w:type="dxa" w:w="1080"/>
          </w:tcPr>
          <w:p>
            <w:pPr>
              <w:spacing w:after="40" w:before="40"/>
            </w:pPr>
            <w:r/>
            <w:r>
              <w:rPr>
                <w:sz w:val="17"/>
              </w:rPr>
              <w:t>Low</w:t>
            </w:r>
          </w:p>
        </w:tc>
        <w:tc>
          <w:tcPr>
            <w:tcW w:type="dxa" w:w="1368"/>
          </w:tcPr>
          <w:p>
            <w:pPr>
              <w:spacing w:after="40" w:before="40"/>
            </w:pPr>
            <w:r/>
            <w:r>
              <w:rPr>
                <w:sz w:val="17"/>
              </w:rPr>
              <w:t>10.0</w:t>
            </w:r>
          </w:p>
        </w:tc>
        <w:tc>
          <w:tcPr>
            <w:tcW w:type="dxa" w:w="1368"/>
          </w:tcPr>
          <w:p>
            <w:pPr>
              <w:spacing w:after="40" w:before="40"/>
            </w:pPr>
            <w:r/>
            <w:r>
              <w:rPr>
                <w:sz w:val="17"/>
              </w:rPr>
              <w:t>12.23</w:t>
            </w:r>
          </w:p>
        </w:tc>
        <w:tc>
          <w:tcPr>
            <w:tcW w:type="dxa" w:w="1152"/>
          </w:tcPr>
          <w:p>
            <w:pPr>
              <w:spacing w:after="40" w:before="40"/>
            </w:pPr>
            <w:r/>
            <w:r>
              <w:rPr>
                <w:sz w:val="17"/>
              </w:rPr>
              <w:t>122.3%</w:t>
            </w:r>
          </w:p>
        </w:tc>
        <w:tc>
          <w:tcPr>
            <w:tcW w:type="dxa" w:w="792"/>
          </w:tcPr>
          <w:p>
            <w:pPr>
              <w:spacing w:after="40" w:before="40"/>
            </w:pPr>
            <w:r/>
            <w:r>
              <w:rPr>
                <w:sz w:val="17"/>
              </w:rPr>
              <w:t>4.2%</w:t>
            </w:r>
          </w:p>
        </w:tc>
        <w:tc>
          <w:tcPr>
            <w:tcW w:type="dxa" w:w="576"/>
          </w:tcPr>
          <w:p>
            <w:pPr>
              <w:spacing w:after="40" w:before="40"/>
            </w:pPr>
            <w:r/>
            <w:r>
              <w:rPr>
                <w:sz w:val="17"/>
              </w:rPr>
              <w:t>33</w:t>
            </w:r>
          </w:p>
        </w:tc>
        <w:tc>
          <w:tcPr>
            <w:tcW w:type="dxa" w:w="1944"/>
          </w:tcPr>
          <w:p>
            <w:pPr>
              <w:spacing w:after="40" w:before="40"/>
            </w:pPr>
            <w:r/>
            <w:r>
              <w:rPr>
                <w:sz w:val="17"/>
              </w:rPr>
              <w:t>0.3</w:t>
            </w:r>
          </w:p>
        </w:tc>
        <w:tc>
          <w:tcPr>
            <w:tcW w:type="dxa" w:w="1800"/>
          </w:tcPr>
          <w:p>
            <w:pPr>
              <w:spacing w:after="40" w:before="40"/>
            </w:pPr>
            <w:r/>
            <w:r>
              <w:rPr>
                <w:sz w:val="17"/>
              </w:rPr>
              <w:t>0.367</w:t>
            </w:r>
          </w:p>
        </w:tc>
      </w:tr>
      <w:tr>
        <w:tc>
          <w:tcPr>
            <w:tcW w:type="dxa" w:w="1080"/>
          </w:tcPr>
          <w:p>
            <w:pPr>
              <w:spacing w:after="40" w:before="40"/>
            </w:pPr>
            <w:r/>
            <w:r>
              <w:rPr>
                <w:sz w:val="17"/>
              </w:rPr>
              <w:t>Mid</w:t>
            </w:r>
          </w:p>
        </w:tc>
        <w:tc>
          <w:tcPr>
            <w:tcW w:type="dxa" w:w="1368"/>
          </w:tcPr>
          <w:p>
            <w:pPr>
              <w:spacing w:after="40" w:before="40"/>
            </w:pPr>
            <w:r/>
            <w:r>
              <w:rPr>
                <w:sz w:val="17"/>
              </w:rPr>
              <w:t>33.3</w:t>
            </w:r>
          </w:p>
        </w:tc>
        <w:tc>
          <w:tcPr>
            <w:tcW w:type="dxa" w:w="1368"/>
          </w:tcPr>
          <w:p>
            <w:pPr>
              <w:spacing w:after="40" w:before="40"/>
            </w:pPr>
            <w:r/>
            <w:r>
              <w:rPr>
                <w:sz w:val="17"/>
              </w:rPr>
              <w:t>40.85</w:t>
            </w:r>
          </w:p>
        </w:tc>
        <w:tc>
          <w:tcPr>
            <w:tcW w:type="dxa" w:w="1152"/>
          </w:tcPr>
          <w:p>
            <w:pPr>
              <w:spacing w:after="40" w:before="40"/>
            </w:pPr>
            <w:r/>
            <w:r>
              <w:rPr>
                <w:sz w:val="17"/>
              </w:rPr>
              <w:t>122.7%</w:t>
            </w:r>
          </w:p>
        </w:tc>
        <w:tc>
          <w:tcPr>
            <w:tcW w:type="dxa" w:w="792"/>
          </w:tcPr>
          <w:p>
            <w:pPr>
              <w:spacing w:after="40" w:before="40"/>
            </w:pPr>
            <w:r/>
            <w:r>
              <w:rPr>
                <w:sz w:val="17"/>
              </w:rPr>
              <w:t>4.4%</w:t>
            </w:r>
          </w:p>
        </w:tc>
        <w:tc>
          <w:tcPr>
            <w:tcW w:type="dxa" w:w="576"/>
          </w:tcPr>
          <w:p>
            <w:pPr>
              <w:spacing w:after="40" w:before="40"/>
            </w:pPr>
            <w:r/>
            <w:r>
              <w:rPr>
                <w:sz w:val="17"/>
              </w:rPr>
              <w:t>33</w:t>
            </w:r>
          </w:p>
        </w:tc>
        <w:tc>
          <w:tcPr>
            <w:tcW w:type="dxa" w:w="1944"/>
          </w:tcPr>
          <w:p>
            <w:pPr>
              <w:spacing w:after="40" w:before="40"/>
            </w:pPr>
            <w:r/>
            <w:r>
              <w:rPr>
                <w:sz w:val="17"/>
              </w:rPr>
              <w:t>1.0</w:t>
            </w:r>
          </w:p>
        </w:tc>
        <w:tc>
          <w:tcPr>
            <w:tcW w:type="dxa" w:w="1800"/>
          </w:tcPr>
          <w:p>
            <w:pPr>
              <w:spacing w:after="40" w:before="40"/>
            </w:pPr>
            <w:r/>
            <w:r>
              <w:rPr>
                <w:sz w:val="17"/>
              </w:rPr>
              <w:t>1.23</w:t>
            </w:r>
          </w:p>
        </w:tc>
      </w:tr>
      <w:tr>
        <w:tc>
          <w:tcPr>
            <w:tcW w:type="dxa" w:w="1080"/>
          </w:tcPr>
          <w:p>
            <w:pPr>
              <w:spacing w:after="40" w:before="40"/>
            </w:pPr>
            <w:r/>
            <w:r>
              <w:rPr>
                <w:sz w:val="17"/>
              </w:rPr>
              <w:t>High (NOAEL)</w:t>
            </w:r>
          </w:p>
        </w:tc>
        <w:tc>
          <w:tcPr>
            <w:tcW w:type="dxa" w:w="1368"/>
          </w:tcPr>
          <w:p>
            <w:pPr>
              <w:spacing w:after="40" w:before="40"/>
            </w:pPr>
            <w:r/>
            <w:r>
              <w:rPr>
                <w:sz w:val="17"/>
              </w:rPr>
              <w:t>100.0</w:t>
            </w:r>
          </w:p>
        </w:tc>
        <w:tc>
          <w:tcPr>
            <w:tcW w:type="dxa" w:w="1368"/>
          </w:tcPr>
          <w:p>
            <w:pPr>
              <w:spacing w:after="40" w:before="40"/>
            </w:pPr>
            <w:r/>
            <w:r>
              <w:rPr>
                <w:sz w:val="17"/>
              </w:rPr>
              <w:t>116.40</w:t>
            </w:r>
          </w:p>
        </w:tc>
        <w:tc>
          <w:tcPr>
            <w:tcW w:type="dxa" w:w="1152"/>
          </w:tcPr>
          <w:p>
            <w:pPr>
              <w:spacing w:after="40" w:before="40"/>
            </w:pPr>
            <w:r/>
            <w:r>
              <w:rPr>
                <w:sz w:val="17"/>
              </w:rPr>
              <w:t>116.4%</w:t>
            </w:r>
          </w:p>
        </w:tc>
        <w:tc>
          <w:tcPr>
            <w:tcW w:type="dxa" w:w="792"/>
          </w:tcPr>
          <w:p>
            <w:pPr>
              <w:spacing w:after="40" w:before="40"/>
            </w:pPr>
            <w:r/>
            <w:r>
              <w:rPr>
                <w:sz w:val="17"/>
              </w:rPr>
              <w:t>7.0%</w:t>
            </w:r>
          </w:p>
        </w:tc>
        <w:tc>
          <w:tcPr>
            <w:tcW w:type="dxa" w:w="576"/>
          </w:tcPr>
          <w:p>
            <w:pPr>
              <w:spacing w:after="40" w:before="40"/>
            </w:pPr>
            <w:r/>
            <w:r>
              <w:rPr>
                <w:sz w:val="17"/>
              </w:rPr>
              <w:t>21</w:t>
            </w:r>
          </w:p>
        </w:tc>
        <w:tc>
          <w:tcPr>
            <w:tcW w:type="dxa" w:w="1944"/>
          </w:tcPr>
          <w:p>
            <w:pPr>
              <w:spacing w:after="40" w:before="40"/>
            </w:pPr>
            <w:r/>
            <w:r>
              <w:rPr>
                <w:sz w:val="17"/>
              </w:rPr>
              <w:t>3.0</w:t>
            </w:r>
          </w:p>
        </w:tc>
        <w:tc>
          <w:tcPr>
            <w:tcW w:type="dxa" w:w="1800"/>
          </w:tcPr>
          <w:p>
            <w:pPr>
              <w:spacing w:after="40" w:before="40"/>
            </w:pPr>
            <w:r/>
            <w:r>
              <w:rPr>
                <w:sz w:val="17"/>
              </w:rPr>
              <w:t>3.49</w:t>
            </w:r>
          </w:p>
        </w:tc>
      </w:tr>
    </w:tbl>
    <w:p/>
    <w:p>
      <w:r>
        <w:rPr>
          <w:b w:val="0"/>
          <w:i w:val="0"/>
        </w:rPr>
        <w:t>A-703-01 also carries GLP exceptions that must be disclosed if the study is cited in the response: test-article characterization was not performed under GLP; control-article homogeneity and stability were not tested; bulk formulation stability was not tested; and solid-tissue bioanalysis was not conducted under GLP. None of these invalidates the study, and its qualitative toxicology conclusion (no adverse findings to 3 mg) stands. They do mean that the rat study cannot be offered as the analytically rigorous anchor of the margin set. A-703-02 is that anchor. Section 7.8 carries these exceptions forward as closed requirements in the cynomolgus specification.</w:t>
      </w:r>
    </w:p>
    <w:p>
      <w:pPr>
        <w:pStyle w:val="Heading2"/>
      </w:pPr>
      <w:r>
        <w:t>3.4 Factual corrections required in the dossier, independent of the margins</w:t>
      </w:r>
    </w:p>
    <w:p>
      <w:r>
        <w:rPr>
          <w:b w:val="0"/>
          <w:i w:val="0"/>
        </w:rPr>
        <w:t>Each of the following was verified against the primary record. They are not stylistic. Several would, on their own, cost the response credibility if a reviewer found them while checking a margin. Per the letter, corrections to documents outside the hold belong in a separate amendment (Section 6.3); the neurobehavioral-attribution error at row 1 should be corrected in, or concurrently with, the hold response because it speaks directly to the deficiency.</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403"/>
          </w:tcPr>
          <w:p>
            <w:pPr>
              <w:spacing w:after="40" w:before="40"/>
            </w:pPr>
            <w:r/>
            <w:r>
              <w:rPr>
                <w:b/>
                <w:sz w:val="16"/>
              </w:rPr>
              <w:t>#</w:t>
            </w:r>
          </w:p>
        </w:tc>
        <w:tc>
          <w:tcPr>
            <w:tcW w:type="dxa" w:w="2304"/>
          </w:tcPr>
          <w:p>
            <w:pPr>
              <w:spacing w:after="40" w:before="40"/>
            </w:pPr>
            <w:r/>
            <w:r>
              <w:rPr>
                <w:b/>
                <w:sz w:val="16"/>
              </w:rPr>
              <w:t>Statement in the dossier</w:t>
            </w:r>
          </w:p>
        </w:tc>
        <w:tc>
          <w:tcPr>
            <w:tcW w:type="dxa" w:w="3168"/>
          </w:tcPr>
          <w:p>
            <w:pPr>
              <w:spacing w:after="40" w:before="40"/>
            </w:pPr>
            <w:r/>
            <w:r>
              <w:rPr>
                <w:b/>
                <w:sz w:val="16"/>
              </w:rPr>
              <w:t>Primary record</w:t>
            </w:r>
          </w:p>
        </w:tc>
        <w:tc>
          <w:tcPr>
            <w:tcW w:type="dxa" w:w="4176"/>
          </w:tcPr>
          <w:p>
            <w:pPr>
              <w:spacing w:after="40" w:before="40"/>
            </w:pPr>
            <w:r/>
            <w:r>
              <w:rPr>
                <w:b/>
                <w:sz w:val="16"/>
              </w:rPr>
              <w:t>Required correction</w:t>
            </w:r>
          </w:p>
        </w:tc>
      </w:tr>
      <w:tr>
        <w:tc>
          <w:tcPr>
            <w:tcW w:type="dxa" w:w="403"/>
          </w:tcPr>
          <w:p>
            <w:pPr>
              <w:spacing w:after="40" w:before="40"/>
            </w:pPr>
            <w:r/>
            <w:r>
              <w:rPr>
                <w:sz w:val="16"/>
              </w:rPr>
              <w:t>1</w:t>
            </w:r>
          </w:p>
        </w:tc>
        <w:tc>
          <w:tcPr>
            <w:tcW w:type="dxa" w:w="2304"/>
          </w:tcPr>
          <w:p>
            <w:pPr>
              <w:spacing w:after="40" w:before="40"/>
            </w:pPr>
            <w:r/>
            <w:r>
              <w:rPr>
                <w:sz w:val="16"/>
              </w:rPr>
              <w:t>"Neurobehavioral function (functional observation battery) was included in the single dose GLP rat toxicology study" (2.4.2.3; 2.6.2 lines 189–200)</w:t>
            </w:r>
          </w:p>
        </w:tc>
        <w:tc>
          <w:tcPr>
            <w:tcW w:type="dxa" w:w="3168"/>
          </w:tcPr>
          <w:p>
            <w:pPr>
              <w:spacing w:after="40" w:before="40"/>
            </w:pPr>
            <w:r/>
            <w:r>
              <w:rPr>
                <w:sz w:val="16"/>
              </w:rPr>
              <w:t>A-703-01: no occurrence of functional observation, neurobehavioral, FOB or neurologic anywhere in the report. A-703-02 §3.5: "Non-invasive home cage neurobehavioral assessments were conducted for animals in the recovery cohort once prior to dose administration and on Day 6 … (a modified functional observational battery) … General Activity, Mental Status, Body Posture, Gait, Unusual Behavior, Convulsive Activity, and indices of Autonomic Nervous System Activity" (SSM at Appendix D, p. 297)</w:t>
            </w:r>
          </w:p>
        </w:tc>
        <w:tc>
          <w:tcPr>
            <w:tcW w:type="dxa" w:w="4176"/>
          </w:tcPr>
          <w:p>
            <w:pPr>
              <w:spacing w:after="40" w:before="40"/>
            </w:pPr>
            <w:r/>
            <w:r>
              <w:rPr>
                <w:sz w:val="16"/>
              </w:rPr>
              <w:t>Delete the rat attribution. State accurately: a modified home-cage observational battery was performed in dog, in the recovery cohort only (2/sex/group), pre-dose and on Day 6, in a species in which PrP is not lowered. Nonclinical’s position is that this coverage does not address the deficiency and should not be offered as if it did.</w:t>
            </w:r>
          </w:p>
        </w:tc>
      </w:tr>
      <w:tr>
        <w:tc>
          <w:tcPr>
            <w:tcW w:type="dxa" w:w="403"/>
          </w:tcPr>
          <w:p>
            <w:pPr>
              <w:spacing w:after="40" w:before="40"/>
            </w:pPr>
            <w:r/>
            <w:r>
              <w:rPr>
                <w:sz w:val="16"/>
              </w:rPr>
              <w:t>2</w:t>
            </w:r>
          </w:p>
        </w:tc>
        <w:tc>
          <w:tcPr>
            <w:tcW w:type="dxa" w:w="2304"/>
          </w:tcPr>
          <w:p>
            <w:pPr>
              <w:spacing w:after="40" w:before="40"/>
            </w:pPr>
            <w:r/>
            <w:r>
              <w:rPr>
                <w:sz w:val="16"/>
              </w:rPr>
              <w:t>"Quantifiable concentrations were observed in the CSF of all rats" (2.6.4)</w:t>
            </w:r>
          </w:p>
        </w:tc>
        <w:tc>
          <w:tcPr>
            <w:tcW w:type="dxa" w:w="3168"/>
          </w:tcPr>
          <w:p>
            <w:pPr>
              <w:spacing w:after="40" w:before="40"/>
            </w:pPr>
            <w:r/>
            <w:r>
              <w:rPr>
                <w:sz w:val="16"/>
              </w:rPr>
              <w:t>raw_data/ind_enabling/BioA_rat_CSF.tsv: of 60 dosed-animal Day 2 samples, 10 were below the limit of quantitation (low dose 6/20, mid 1/20, high 3/20); 15 of 90 dosed samples overall were BQL</w:t>
            </w:r>
          </w:p>
        </w:tc>
        <w:tc>
          <w:tcPr>
            <w:tcW w:type="dxa" w:w="4176"/>
          </w:tcPr>
          <w:p>
            <w:pPr>
              <w:spacing w:after="40" w:before="40"/>
            </w:pPr>
            <w:r/>
            <w:r>
              <w:rPr>
                <w:sz w:val="16"/>
              </w:rPr>
              <w:t>Replace with the quantified figures. Report BQL counts rather than an "all animals" assertion.</w:t>
            </w:r>
          </w:p>
        </w:tc>
      </w:tr>
      <w:tr>
        <w:tc>
          <w:tcPr>
            <w:tcW w:type="dxa" w:w="403"/>
          </w:tcPr>
          <w:p>
            <w:pPr>
              <w:spacing w:after="40" w:before="40"/>
            </w:pPr>
            <w:r/>
            <w:r>
              <w:rPr>
                <w:sz w:val="16"/>
              </w:rPr>
              <w:t>3</w:t>
            </w:r>
          </w:p>
        </w:tc>
        <w:tc>
          <w:tcPr>
            <w:tcW w:type="dxa" w:w="2304"/>
          </w:tcPr>
          <w:p>
            <w:pPr>
              <w:spacing w:after="40" w:before="40"/>
            </w:pPr>
            <w:r/>
            <w:r>
              <w:rPr>
                <w:sz w:val="16"/>
              </w:rPr>
              <w:t>Rat CSF and tissue analysis described as "ongoing" (2.4; 2.6.4 lines 109, 466, 663)</w:t>
            </w:r>
          </w:p>
        </w:tc>
        <w:tc>
          <w:tcPr>
            <w:tcW w:type="dxa" w:w="3168"/>
          </w:tcPr>
          <w:p>
            <w:pPr>
              <w:spacing w:after="40" w:before="40"/>
            </w:pPr>
            <w:r/>
            <w:r>
              <w:rPr>
                <w:sz w:val="16"/>
              </w:rPr>
              <w:t>Complete rat CSF and tissue datasets are on the desk (BioA_rat_CSF.tsv, BioA_rat_tissue.tsv) and A-703-01 was approved 18 April 2025</w:t>
            </w:r>
          </w:p>
        </w:tc>
        <w:tc>
          <w:tcPr>
            <w:tcW w:type="dxa" w:w="4176"/>
          </w:tcPr>
          <w:p>
            <w:pPr>
              <w:spacing w:after="40" w:before="40"/>
            </w:pPr>
            <w:r/>
            <w:r>
              <w:rPr>
                <w:sz w:val="16"/>
              </w:rPr>
              <w:t>Replace the "ongoing" statements with the results. An open status statement adjacent to a margin claim invites the question of what the data showed.</w:t>
            </w:r>
          </w:p>
        </w:tc>
      </w:tr>
      <w:tr>
        <w:tc>
          <w:tcPr>
            <w:tcW w:type="dxa" w:w="403"/>
          </w:tcPr>
          <w:p>
            <w:pPr>
              <w:spacing w:after="40" w:before="40"/>
            </w:pPr>
            <w:r/>
            <w:r>
              <w:rPr>
                <w:sz w:val="16"/>
              </w:rPr>
              <w:t>4</w:t>
            </w:r>
          </w:p>
        </w:tc>
        <w:tc>
          <w:tcPr>
            <w:tcW w:type="dxa" w:w="2304"/>
          </w:tcPr>
          <w:p>
            <w:pPr>
              <w:spacing w:after="40" w:before="40"/>
            </w:pPr>
            <w:r/>
            <w:r>
              <w:rPr>
                <w:sz w:val="16"/>
              </w:rPr>
              <w:t>Rat tissue timepoint</w:t>
            </w:r>
          </w:p>
        </w:tc>
        <w:tc>
          <w:tcPr>
            <w:tcW w:type="dxa" w:w="3168"/>
          </w:tcPr>
          <w:p>
            <w:pPr>
              <w:spacing w:after="40" w:before="40"/>
            </w:pPr>
            <w:r/>
            <w:r>
              <w:rPr>
                <w:sz w:val="16"/>
              </w:rPr>
              <w:t>BioA_rat_tissue.tsv records all tissue collections at "Nominal Timepoint (Day) 4" while the study design specifies Day 2 and Day 29 necropsies</w:t>
            </w:r>
          </w:p>
        </w:tc>
        <w:tc>
          <w:tcPr>
            <w:tcW w:type="dxa" w:w="4176"/>
          </w:tcPr>
          <w:p>
            <w:pPr>
              <w:spacing w:after="40" w:before="40"/>
            </w:pPr>
            <w:r/>
            <w:r>
              <w:rPr>
                <w:sz w:val="16"/>
              </w:rPr>
              <w:t>Reconcile the bioanalytical timepoint label with the in-life schedule and document which is correct before either dataset is cited in the response.</w:t>
            </w:r>
          </w:p>
        </w:tc>
      </w:tr>
      <w:tr>
        <w:tc>
          <w:tcPr>
            <w:tcW w:type="dxa" w:w="403"/>
          </w:tcPr>
          <w:p>
            <w:pPr>
              <w:spacing w:after="40" w:before="40"/>
            </w:pPr>
            <w:r/>
            <w:r>
              <w:rPr>
                <w:sz w:val="16"/>
              </w:rPr>
              <w:t>5</w:t>
            </w:r>
          </w:p>
        </w:tc>
        <w:tc>
          <w:tcPr>
            <w:tcW w:type="dxa" w:w="2304"/>
          </w:tcPr>
          <w:p>
            <w:pPr>
              <w:spacing w:after="40" w:before="40"/>
            </w:pPr>
            <w:r/>
            <w:r>
              <w:rPr>
                <w:sz w:val="16"/>
              </w:rPr>
              <w:t>"Chromosomal aberration assay in cultured Chinese hamster lung fibroblast" (2.4.4.1; 2.6.6)</w:t>
            </w:r>
          </w:p>
        </w:tc>
        <w:tc>
          <w:tcPr>
            <w:tcW w:type="dxa" w:w="3168"/>
          </w:tcPr>
          <w:p>
            <w:pPr>
              <w:spacing w:after="40" w:before="40"/>
            </w:pPr>
            <w:r/>
            <w:r>
              <w:rPr>
                <w:sz w:val="16"/>
              </w:rPr>
              <w:t>Study 56773 is an in vitro micronucleus assay in CHO-K1 (Chinese hamster ovary) cells</w:t>
            </w:r>
          </w:p>
        </w:tc>
        <w:tc>
          <w:tcPr>
            <w:tcW w:type="dxa" w:w="4176"/>
          </w:tcPr>
          <w:p>
            <w:pPr>
              <w:spacing w:after="40" w:before="40"/>
            </w:pPr>
            <w:r/>
            <w:r>
              <w:rPr>
                <w:sz w:val="16"/>
              </w:rPr>
              <w:t>Correct both the assay type and the cell line. Also correct the top-concentration statement: 5000 µg/plate applies to the Ames assay; the micronucleus top concentration was 500 µg/mL. Correct the "1225" entry in the micronucleus concentration series (0, 7.5, 15, 30, 60, 1225, 250, 500 µg/mL) and the citation "ICH S2A(R1)" to ICH S2(R1).</w:t>
            </w:r>
          </w:p>
        </w:tc>
      </w:tr>
      <w:tr>
        <w:tc>
          <w:tcPr>
            <w:tcW w:type="dxa" w:w="403"/>
          </w:tcPr>
          <w:p>
            <w:pPr>
              <w:spacing w:after="40" w:before="40"/>
            </w:pPr>
            <w:r/>
            <w:r>
              <w:rPr>
                <w:sz w:val="16"/>
              </w:rPr>
              <w:t>6</w:t>
            </w:r>
          </w:p>
        </w:tc>
        <w:tc>
          <w:tcPr>
            <w:tcW w:type="dxa" w:w="2304"/>
          </w:tcPr>
          <w:p>
            <w:pPr>
              <w:spacing w:after="40" w:before="40"/>
            </w:pPr>
            <w:r/>
            <w:r>
              <w:rPr>
                <w:sz w:val="16"/>
              </w:rPr>
              <w:t>"208 mmol of Mg²⁺, the equivalent of 19.8 mg of magnesium chloride hexahydrate" (2.6.6; repeated in the IB)</w:t>
            </w:r>
          </w:p>
        </w:tc>
        <w:tc>
          <w:tcPr>
            <w:tcW w:type="dxa" w:w="3168"/>
          </w:tcPr>
          <w:p>
            <w:pPr>
              <w:spacing w:after="40" w:before="40"/>
            </w:pPr>
            <w:r/>
            <w:r>
              <w:rPr>
                <w:sz w:val="16"/>
              </w:rPr>
              <w:t>Formulation records 3.2.P.1 / Tables 2.6.6.1-1 to -3; molar arithmetic</w:t>
            </w:r>
          </w:p>
        </w:tc>
        <w:tc>
          <w:tcPr>
            <w:tcW w:type="dxa" w:w="4176"/>
          </w:tcPr>
          <w:p>
            <w:pPr>
              <w:spacing w:after="40" w:before="40"/>
            </w:pPr>
            <w:r/>
            <w:r>
              <w:rPr>
                <w:sz w:val="16"/>
              </w:rPr>
              <w:t>Two errors in one sentence: the quantity is 0.208 mmol, not 208 mmol (a 1,000-fold error); and 19.8 mg is the mass of anhydrous MgCl₂, whereas the excipient used is the hexahydrate, 42.3 mg. Correct both. The 25:1 Mg²⁺-to-oligonucleotide ratio itself is correct and is carried into the cynomolgus specification.</w:t>
            </w:r>
          </w:p>
        </w:tc>
      </w:tr>
      <w:tr>
        <w:tc>
          <w:tcPr>
            <w:tcW w:type="dxa" w:w="403"/>
          </w:tcPr>
          <w:p>
            <w:pPr>
              <w:spacing w:after="40" w:before="40"/>
            </w:pPr>
            <w:r/>
            <w:r>
              <w:rPr>
                <w:sz w:val="16"/>
              </w:rPr>
              <w:t>7</w:t>
            </w:r>
          </w:p>
        </w:tc>
        <w:tc>
          <w:tcPr>
            <w:tcW w:type="dxa" w:w="2304"/>
          </w:tcPr>
          <w:p>
            <w:pPr>
              <w:spacing w:after="40" w:before="40"/>
            </w:pPr>
            <w:r/>
            <w:r>
              <w:rPr>
                <w:sz w:val="16"/>
              </w:rPr>
              <w:t>"following a single SC dose" (2.4.5)</w:t>
            </w:r>
          </w:p>
        </w:tc>
        <w:tc>
          <w:tcPr>
            <w:tcW w:type="dxa" w:w="3168"/>
          </w:tcPr>
          <w:p>
            <w:pPr>
              <w:spacing w:after="40" w:before="40"/>
            </w:pPr>
            <w:r/>
            <w:r>
              <w:rPr>
                <w:sz w:val="16"/>
              </w:rPr>
              <w:t>All studies are intrathecal</w:t>
            </w:r>
          </w:p>
        </w:tc>
        <w:tc>
          <w:tcPr>
            <w:tcW w:type="dxa" w:w="4176"/>
          </w:tcPr>
          <w:p>
            <w:pPr>
              <w:spacing w:after="40" w:before="40"/>
            </w:pPr>
            <w:r/>
            <w:r>
              <w:rPr>
                <w:sz w:val="16"/>
              </w:rPr>
              <w:t>Route error. Correct to intrathecal.</w:t>
            </w:r>
          </w:p>
        </w:tc>
      </w:tr>
      <w:tr>
        <w:tc>
          <w:tcPr>
            <w:tcW w:type="dxa" w:w="403"/>
          </w:tcPr>
          <w:p>
            <w:pPr>
              <w:spacing w:after="40" w:before="40"/>
            </w:pPr>
            <w:r/>
            <w:r>
              <w:rPr>
                <w:sz w:val="16"/>
              </w:rPr>
              <w:t>8</w:t>
            </w:r>
          </w:p>
        </w:tc>
        <w:tc>
          <w:tcPr>
            <w:tcW w:type="dxa" w:w="2304"/>
          </w:tcPr>
          <w:p>
            <w:pPr>
              <w:spacing w:after="40" w:before="40"/>
            </w:pPr>
            <w:r/>
            <w:r>
              <w:rPr>
                <w:sz w:val="16"/>
              </w:rPr>
              <w:t>Study identifiers: heading 2.4.4.1.3 labels the rat study "A-703-03"; REGOPS-DRAFT-2025-04-09 reverses the species as "A-703-01 (dog) and A-703-02 (rat)"</w:t>
            </w:r>
          </w:p>
        </w:tc>
        <w:tc>
          <w:tcPr>
            <w:tcW w:type="dxa" w:w="3168"/>
          </w:tcPr>
          <w:p>
            <w:pPr>
              <w:spacing w:after="40" w:before="40"/>
            </w:pPr>
            <w:r/>
            <w:r>
              <w:rPr>
                <w:sz w:val="16"/>
              </w:rPr>
              <w:t>A-703-01 = rat (REPORT-00611); A-703-02 = dog (REPORT-00664); A-703-03 = non-GLP dog MTD</w:t>
            </w:r>
          </w:p>
        </w:tc>
        <w:tc>
          <w:tcPr>
            <w:tcW w:type="dxa" w:w="4176"/>
          </w:tcPr>
          <w:p>
            <w:pPr>
              <w:spacing w:after="40" w:before="40"/>
            </w:pPr>
            <w:r/>
            <w:r>
              <w:rPr>
                <w:sz w:val="16"/>
              </w:rPr>
              <w:t>Correct both. A species-to-study mismatch in a response about species relevance is the single most damaging clerical error available in this submission.</w:t>
            </w:r>
          </w:p>
        </w:tc>
      </w:tr>
      <w:tr>
        <w:tc>
          <w:tcPr>
            <w:tcW w:type="dxa" w:w="403"/>
          </w:tcPr>
          <w:p>
            <w:pPr>
              <w:spacing w:after="40" w:before="40"/>
            </w:pPr>
            <w:r/>
            <w:r>
              <w:rPr>
                <w:sz w:val="16"/>
              </w:rPr>
              <w:t>9</w:t>
            </w:r>
          </w:p>
        </w:tc>
        <w:tc>
          <w:tcPr>
            <w:tcW w:type="dxa" w:w="2304"/>
          </w:tcPr>
          <w:p>
            <w:pPr>
              <w:spacing w:after="40" w:before="40"/>
            </w:pPr>
            <w:r/>
            <w:r>
              <w:rPr>
                <w:sz w:val="16"/>
              </w:rPr>
              <w:t>"The decision to conduct toxicology studies in species not pharmacologically responsive … was made in consultation with FDA at a Pre-IND meeting" (2.4)</w:t>
            </w:r>
          </w:p>
        </w:tc>
        <w:tc>
          <w:tcPr>
            <w:tcW w:type="dxa" w:w="3168"/>
          </w:tcPr>
          <w:p>
            <w:pPr>
              <w:spacing w:after="40" w:before="40"/>
            </w:pPr>
            <w:r/>
            <w:r>
              <w:rPr>
                <w:sz w:val="16"/>
              </w:rPr>
              <w:t>Type B minutes: FDA required rodent plus non-rodent GLP studies of duration similar to or greater than human, and stated "Justification should be provided for the species selected … taking into consideration the availability of data to document their relevance to humans for assessing hybridization and nonhybridization-mediated toxicity. For example, there may be less experience with nonrodent species such as dog or sheep compared to nonhuman primate or minipig."</w:t>
            </w:r>
          </w:p>
        </w:tc>
        <w:tc>
          <w:tcPr>
            <w:tcW w:type="dxa" w:w="4176"/>
          </w:tcPr>
          <w:p>
            <w:pPr>
              <w:spacing w:after="40" w:before="40"/>
            </w:pPr>
            <w:r/>
            <w:r>
              <w:rPr>
                <w:sz w:val="16"/>
              </w:rPr>
              <w:t>WITHDRAW the characterization. FDA set requirements and expressly asked for a species-relevance justification, flagging dog against non-human primate. It did not endorse non-responsive species. Asserting Agency concurrence that the minutes do not support is the highest-risk sentence in the dossier.</w:t>
            </w:r>
          </w:p>
        </w:tc>
      </w:tr>
      <w:tr>
        <w:tc>
          <w:tcPr>
            <w:tcW w:type="dxa" w:w="403"/>
          </w:tcPr>
          <w:p>
            <w:pPr>
              <w:spacing w:after="40" w:before="40"/>
            </w:pPr>
            <w:r/>
            <w:r>
              <w:rPr>
                <w:sz w:val="16"/>
              </w:rPr>
              <w:t>10</w:t>
            </w:r>
          </w:p>
        </w:tc>
        <w:tc>
          <w:tcPr>
            <w:tcW w:type="dxa" w:w="2304"/>
          </w:tcPr>
          <w:p>
            <w:pPr>
              <w:spacing w:after="40" w:before="40"/>
            </w:pPr>
            <w:r/>
            <w:r>
              <w:rPr>
                <w:sz w:val="16"/>
              </w:rPr>
              <w:t>Residual PrP after ICV dosing given as "28% or 17%" for 174 or 348 µg (2.4.1) and as "29% and 17%" (2.4.2.1)</w:t>
            </w:r>
          </w:p>
        </w:tc>
        <w:tc>
          <w:tcPr>
            <w:tcW w:type="dxa" w:w="3168"/>
          </w:tcPr>
          <w:p>
            <w:pPr>
              <w:spacing w:after="40" w:before="40"/>
            </w:pPr>
            <w:r/>
            <w:r>
              <w:rPr>
                <w:sz w:val="16"/>
              </w:rPr>
              <w:t>4.2.1.1: 174 µg → 29.5% residual; 348 µg → 28.3% residual in the screening cohort and 17% at day 34 in the durability cohort</w:t>
            </w:r>
          </w:p>
        </w:tc>
        <w:tc>
          <w:tcPr>
            <w:tcW w:type="dxa" w:w="4176"/>
          </w:tcPr>
          <w:p>
            <w:pPr>
              <w:spacing w:after="40" w:before="40"/>
            </w:pPr>
            <w:r/>
            <w:r>
              <w:rPr>
                <w:sz w:val="16"/>
              </w:rPr>
              <w:t>The two numbers belong to different doses, cohorts and timepoints and are being paired inconsistently. Restate each value with its dose, cohort and day.</w:t>
            </w:r>
          </w:p>
        </w:tc>
      </w:tr>
      <w:tr>
        <w:tc>
          <w:tcPr>
            <w:tcW w:type="dxa" w:w="403"/>
          </w:tcPr>
          <w:p>
            <w:pPr>
              <w:spacing w:after="40" w:before="40"/>
            </w:pPr>
            <w:r/>
            <w:r>
              <w:rPr>
                <w:sz w:val="16"/>
              </w:rPr>
              <w:t>11</w:t>
            </w:r>
          </w:p>
        </w:tc>
        <w:tc>
          <w:tcPr>
            <w:tcW w:type="dxa" w:w="2304"/>
          </w:tcPr>
          <w:p>
            <w:pPr>
              <w:spacing w:after="40" w:before="40"/>
            </w:pPr>
            <w:r/>
            <w:r>
              <w:rPr>
                <w:sz w:val="16"/>
              </w:rPr>
              <w:t>Product identity typographic variants: "2349-exNA" (2.6.2); the FDA letter itself uses "2349-exNA" in one place</w:t>
            </w:r>
          </w:p>
        </w:tc>
        <w:tc>
          <w:tcPr>
            <w:tcW w:type="dxa" w:w="3168"/>
          </w:tcPr>
          <w:p>
            <w:pPr>
              <w:spacing w:after="40" w:before="40"/>
            </w:pPr>
            <w:r/>
            <w:r>
              <w:rPr>
                <w:sz w:val="16"/>
              </w:rPr>
              <w:t>3.2.S.1.2</w:t>
            </w:r>
          </w:p>
        </w:tc>
        <w:tc>
          <w:tcPr>
            <w:tcW w:type="dxa" w:w="4176"/>
          </w:tcPr>
          <w:p>
            <w:pPr>
              <w:spacing w:after="40" w:before="40"/>
            </w:pPr>
            <w:r/>
            <w:r>
              <w:rPr>
                <w:sz w:val="16"/>
              </w:rPr>
              <w:t>Correct our own documents to 2439-exNA. Do not correct the Agency; use the correct identifier consistently in the response.</w:t>
            </w:r>
          </w:p>
        </w:tc>
      </w:tr>
    </w:tbl>
    <w:p/>
    <w:p>
      <w:pPr>
        <w:pStyle w:val="Heading1"/>
      </w:pPr>
      <w:r>
        <w:t>4. Exposure record: what the primary bioanalysis supports, and why it changes the dose rationale</w:t>
      </w:r>
    </w:p>
    <w:p>
      <w:r>
        <w:rPr>
          <w:b w:val="0"/>
          <w:i w:val="0"/>
        </w:rPr>
        <w:t>The bioanalytical datasets (PNA-AEX-HPLC hybridization assay, Axolabs) were re-analyzed from source. Values in the source files carry thousands separators; parsing them as plain numbers silently discards every diluted high-concentration result, so the medians below are reported with that handled. Controls were uniformly below the limit of quantitation in every matrix at every timepoint, which supports assay specificity.</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304"/>
          </w:tcPr>
          <w:p>
            <w:pPr>
              <w:spacing w:after="40" w:before="40"/>
            </w:pPr>
            <w:r/>
            <w:r>
              <w:rPr>
                <w:b/>
                <w:sz w:val="17"/>
              </w:rPr>
              <w:t>Matrix / region</w:t>
            </w:r>
          </w:p>
        </w:tc>
        <w:tc>
          <w:tcPr>
            <w:tcW w:type="dxa" w:w="2736"/>
          </w:tcPr>
          <w:p>
            <w:pPr>
              <w:spacing w:after="40" w:before="40"/>
            </w:pPr>
            <w:r/>
            <w:r>
              <w:rPr>
                <w:b/>
                <w:sz w:val="17"/>
              </w:rPr>
              <w:t>Rat, 3.0 mg (Day 4 label), median ng/g</w:t>
            </w:r>
          </w:p>
        </w:tc>
        <w:tc>
          <w:tcPr>
            <w:tcW w:type="dxa" w:w="2520"/>
          </w:tcPr>
          <w:p>
            <w:pPr>
              <w:spacing w:after="40" w:before="40"/>
            </w:pPr>
            <w:r/>
            <w:r>
              <w:rPr>
                <w:b/>
                <w:sz w:val="17"/>
              </w:rPr>
              <w:t>Dog, 200 mg, Day 2, median ng/g</w:t>
            </w:r>
          </w:p>
        </w:tc>
        <w:tc>
          <w:tcPr>
            <w:tcW w:type="dxa" w:w="2520"/>
          </w:tcPr>
          <w:p>
            <w:pPr>
              <w:spacing w:after="40" w:before="40"/>
            </w:pPr>
            <w:r/>
            <w:r>
              <w:rPr>
                <w:b/>
                <w:sz w:val="17"/>
              </w:rPr>
              <w:t>Dog, 200 mg, Day 29, median ng/g</w:t>
            </w:r>
          </w:p>
        </w:tc>
      </w:tr>
      <w:tr>
        <w:tc>
          <w:tcPr>
            <w:tcW w:type="dxa" w:w="2304"/>
          </w:tcPr>
          <w:p>
            <w:pPr>
              <w:spacing w:after="40" w:before="40"/>
            </w:pPr>
            <w:r/>
            <w:r>
              <w:rPr>
                <w:sz w:val="17"/>
              </w:rPr>
              <w:t>Liver</w:t>
            </w:r>
          </w:p>
        </w:tc>
        <w:tc>
          <w:tcPr>
            <w:tcW w:type="dxa" w:w="2736"/>
          </w:tcPr>
          <w:p>
            <w:pPr>
              <w:spacing w:after="40" w:before="40"/>
            </w:pPr>
            <w:r/>
            <w:r>
              <w:rPr>
                <w:sz w:val="17"/>
              </w:rPr>
              <w:t>69,801</w:t>
            </w:r>
          </w:p>
        </w:tc>
        <w:tc>
          <w:tcPr>
            <w:tcW w:type="dxa" w:w="2520"/>
          </w:tcPr>
          <w:p>
            <w:pPr>
              <w:spacing w:after="40" w:before="40"/>
            </w:pPr>
            <w:r/>
            <w:r>
              <w:rPr>
                <w:sz w:val="17"/>
              </w:rPr>
              <w:t>230,638</w:t>
            </w:r>
          </w:p>
        </w:tc>
        <w:tc>
          <w:tcPr>
            <w:tcW w:type="dxa" w:w="2520"/>
          </w:tcPr>
          <w:p>
            <w:pPr>
              <w:spacing w:after="40" w:before="40"/>
            </w:pPr>
            <w:r/>
            <w:r>
              <w:rPr>
                <w:sz w:val="17"/>
              </w:rPr>
              <w:t>84,174</w:t>
            </w:r>
          </w:p>
        </w:tc>
      </w:tr>
      <w:tr>
        <w:tc>
          <w:tcPr>
            <w:tcW w:type="dxa" w:w="2304"/>
          </w:tcPr>
          <w:p>
            <w:pPr>
              <w:spacing w:after="40" w:before="40"/>
            </w:pPr>
            <w:r/>
            <w:r>
              <w:rPr>
                <w:sz w:val="17"/>
              </w:rPr>
              <w:t>Kidney</w:t>
            </w:r>
          </w:p>
        </w:tc>
        <w:tc>
          <w:tcPr>
            <w:tcW w:type="dxa" w:w="2736"/>
          </w:tcPr>
          <w:p>
            <w:pPr>
              <w:spacing w:after="40" w:before="40"/>
            </w:pPr>
            <w:r/>
            <w:r>
              <w:rPr>
                <w:sz w:val="17"/>
              </w:rPr>
              <w:t>84,507</w:t>
            </w:r>
          </w:p>
        </w:tc>
        <w:tc>
          <w:tcPr>
            <w:tcW w:type="dxa" w:w="2520"/>
          </w:tcPr>
          <w:p>
            <w:pPr>
              <w:spacing w:after="40" w:before="40"/>
            </w:pPr>
            <w:r/>
            <w:r>
              <w:rPr>
                <w:sz w:val="17"/>
              </w:rPr>
              <w:t>64,260</w:t>
            </w:r>
          </w:p>
        </w:tc>
        <w:tc>
          <w:tcPr>
            <w:tcW w:type="dxa" w:w="2520"/>
          </w:tcPr>
          <w:p>
            <w:pPr>
              <w:spacing w:after="40" w:before="40"/>
            </w:pPr>
            <w:r/>
            <w:r>
              <w:rPr>
                <w:sz w:val="17"/>
              </w:rPr>
              <w:t>19,507</w:t>
            </w:r>
          </w:p>
        </w:tc>
      </w:tr>
      <w:tr>
        <w:tc>
          <w:tcPr>
            <w:tcW w:type="dxa" w:w="2304"/>
          </w:tcPr>
          <w:p>
            <w:pPr>
              <w:spacing w:after="40" w:before="40"/>
            </w:pPr>
            <w:r/>
            <w:r>
              <w:rPr>
                <w:sz w:val="17"/>
              </w:rPr>
              <w:t>Spinal cord, lumbar</w:t>
            </w:r>
          </w:p>
        </w:tc>
        <w:tc>
          <w:tcPr>
            <w:tcW w:type="dxa" w:w="2736"/>
          </w:tcPr>
          <w:p>
            <w:pPr>
              <w:spacing w:after="40" w:before="40"/>
            </w:pPr>
            <w:r/>
            <w:r>
              <w:rPr>
                <w:sz w:val="17"/>
              </w:rPr>
              <w:t>61,628</w:t>
            </w:r>
          </w:p>
        </w:tc>
        <w:tc>
          <w:tcPr>
            <w:tcW w:type="dxa" w:w="2520"/>
          </w:tcPr>
          <w:p>
            <w:pPr>
              <w:spacing w:after="40" w:before="40"/>
            </w:pPr>
            <w:r/>
            <w:r>
              <w:rPr>
                <w:sz w:val="17"/>
              </w:rPr>
              <w:t>35,809</w:t>
            </w:r>
          </w:p>
        </w:tc>
        <w:tc>
          <w:tcPr>
            <w:tcW w:type="dxa" w:w="2520"/>
          </w:tcPr>
          <w:p>
            <w:pPr>
              <w:spacing w:after="40" w:before="40"/>
            </w:pPr>
            <w:r/>
            <w:r>
              <w:rPr>
                <w:sz w:val="17"/>
              </w:rPr>
              <w:t>17,567</w:t>
            </w:r>
          </w:p>
        </w:tc>
      </w:tr>
      <w:tr>
        <w:tc>
          <w:tcPr>
            <w:tcW w:type="dxa" w:w="2304"/>
          </w:tcPr>
          <w:p>
            <w:pPr>
              <w:spacing w:after="40" w:before="40"/>
            </w:pPr>
            <w:r/>
            <w:r>
              <w:rPr>
                <w:sz w:val="17"/>
              </w:rPr>
              <w:t>Spinal cord, cervical</w:t>
            </w:r>
          </w:p>
        </w:tc>
        <w:tc>
          <w:tcPr>
            <w:tcW w:type="dxa" w:w="2736"/>
          </w:tcPr>
          <w:p>
            <w:pPr>
              <w:spacing w:after="40" w:before="40"/>
            </w:pPr>
            <w:r/>
            <w:r>
              <w:rPr>
                <w:sz w:val="17"/>
              </w:rPr>
              <w:t>10,902</w:t>
            </w:r>
          </w:p>
        </w:tc>
        <w:tc>
          <w:tcPr>
            <w:tcW w:type="dxa" w:w="2520"/>
          </w:tcPr>
          <w:p>
            <w:pPr>
              <w:spacing w:after="40" w:before="40"/>
            </w:pPr>
            <w:r/>
            <w:r>
              <w:rPr>
                <w:sz w:val="17"/>
              </w:rPr>
              <w:t>8,467</w:t>
            </w:r>
          </w:p>
        </w:tc>
        <w:tc>
          <w:tcPr>
            <w:tcW w:type="dxa" w:w="2520"/>
          </w:tcPr>
          <w:p>
            <w:pPr>
              <w:spacing w:after="40" w:before="40"/>
            </w:pPr>
            <w:r/>
            <w:r>
              <w:rPr>
                <w:sz w:val="17"/>
              </w:rPr>
              <w:t>9,871</w:t>
            </w:r>
          </w:p>
        </w:tc>
      </w:tr>
      <w:tr>
        <w:tc>
          <w:tcPr>
            <w:tcW w:type="dxa" w:w="2304"/>
          </w:tcPr>
          <w:p>
            <w:pPr>
              <w:spacing w:after="40" w:before="40"/>
            </w:pPr>
            <w:r/>
            <w:r>
              <w:rPr>
                <w:sz w:val="17"/>
              </w:rPr>
              <w:t>Cerebellar cortex</w:t>
            </w:r>
          </w:p>
        </w:tc>
        <w:tc>
          <w:tcPr>
            <w:tcW w:type="dxa" w:w="2736"/>
          </w:tcPr>
          <w:p>
            <w:pPr>
              <w:spacing w:after="40" w:before="40"/>
            </w:pPr>
            <w:r/>
            <w:r>
              <w:rPr>
                <w:sz w:val="17"/>
              </w:rPr>
              <w:t>24,561</w:t>
            </w:r>
          </w:p>
        </w:tc>
        <w:tc>
          <w:tcPr>
            <w:tcW w:type="dxa" w:w="2520"/>
          </w:tcPr>
          <w:p>
            <w:pPr>
              <w:spacing w:after="40" w:before="40"/>
            </w:pPr>
            <w:r/>
            <w:r>
              <w:rPr>
                <w:sz w:val="17"/>
              </w:rPr>
              <w:t>15,407</w:t>
            </w:r>
          </w:p>
        </w:tc>
        <w:tc>
          <w:tcPr>
            <w:tcW w:type="dxa" w:w="2520"/>
          </w:tcPr>
          <w:p>
            <w:pPr>
              <w:spacing w:after="40" w:before="40"/>
            </w:pPr>
            <w:r/>
            <w:r>
              <w:rPr>
                <w:sz w:val="17"/>
              </w:rPr>
              <w:t>20,840</w:t>
            </w:r>
          </w:p>
        </w:tc>
      </w:tr>
      <w:tr>
        <w:tc>
          <w:tcPr>
            <w:tcW w:type="dxa" w:w="2304"/>
          </w:tcPr>
          <w:p>
            <w:pPr>
              <w:spacing w:after="40" w:before="40"/>
            </w:pPr>
            <w:r/>
            <w:r>
              <w:rPr>
                <w:sz w:val="17"/>
              </w:rPr>
              <w:t>Frontal cortex</w:t>
            </w:r>
          </w:p>
        </w:tc>
        <w:tc>
          <w:tcPr>
            <w:tcW w:type="dxa" w:w="2736"/>
          </w:tcPr>
          <w:p>
            <w:pPr>
              <w:spacing w:after="40" w:before="40"/>
            </w:pPr>
            <w:r/>
            <w:r>
              <w:rPr>
                <w:sz w:val="17"/>
              </w:rPr>
              <w:t>9,783</w:t>
            </w:r>
          </w:p>
        </w:tc>
        <w:tc>
          <w:tcPr>
            <w:tcW w:type="dxa" w:w="2520"/>
          </w:tcPr>
          <w:p>
            <w:pPr>
              <w:spacing w:after="40" w:before="40"/>
            </w:pPr>
            <w:r/>
            <w:r>
              <w:rPr>
                <w:sz w:val="17"/>
              </w:rPr>
              <w:t>2,765</w:t>
            </w:r>
          </w:p>
        </w:tc>
        <w:tc>
          <w:tcPr>
            <w:tcW w:type="dxa" w:w="2520"/>
          </w:tcPr>
          <w:p>
            <w:pPr>
              <w:spacing w:after="40" w:before="40"/>
            </w:pPr>
            <w:r/>
            <w:r>
              <w:rPr>
                <w:sz w:val="17"/>
              </w:rPr>
              <w:t>13,786</w:t>
            </w:r>
          </w:p>
        </w:tc>
      </w:tr>
      <w:tr>
        <w:tc>
          <w:tcPr>
            <w:tcW w:type="dxa" w:w="2304"/>
          </w:tcPr>
          <w:p>
            <w:pPr>
              <w:spacing w:after="40" w:before="40"/>
            </w:pPr>
            <w:r/>
            <w:r>
              <w:rPr>
                <w:sz w:val="17"/>
              </w:rPr>
              <w:t>Hippocampus</w:t>
            </w:r>
          </w:p>
        </w:tc>
        <w:tc>
          <w:tcPr>
            <w:tcW w:type="dxa" w:w="2736"/>
          </w:tcPr>
          <w:p>
            <w:pPr>
              <w:spacing w:after="40" w:before="40"/>
            </w:pPr>
            <w:r/>
            <w:r>
              <w:rPr>
                <w:sz w:val="17"/>
              </w:rPr>
              <w:t>10,811</w:t>
            </w:r>
          </w:p>
        </w:tc>
        <w:tc>
          <w:tcPr>
            <w:tcW w:type="dxa" w:w="2520"/>
          </w:tcPr>
          <w:p>
            <w:pPr>
              <w:spacing w:after="40" w:before="40"/>
            </w:pPr>
            <w:r/>
            <w:r>
              <w:rPr>
                <w:sz w:val="17"/>
              </w:rPr>
              <w:t>3,106</w:t>
            </w:r>
          </w:p>
        </w:tc>
        <w:tc>
          <w:tcPr>
            <w:tcW w:type="dxa" w:w="2520"/>
          </w:tcPr>
          <w:p>
            <w:pPr>
              <w:spacing w:after="40" w:before="40"/>
            </w:pPr>
            <w:r/>
            <w:r>
              <w:rPr>
                <w:sz w:val="17"/>
              </w:rPr>
              <w:t>11,529</w:t>
            </w:r>
          </w:p>
        </w:tc>
      </w:tr>
      <w:tr>
        <w:tc>
          <w:tcPr>
            <w:tcW w:type="dxa" w:w="2304"/>
          </w:tcPr>
          <w:p>
            <w:pPr>
              <w:spacing w:after="40" w:before="40"/>
            </w:pPr>
            <w:r/>
            <w:r>
              <w:rPr>
                <w:sz w:val="17"/>
              </w:rPr>
              <w:t>Caudate / putamen</w:t>
            </w:r>
          </w:p>
        </w:tc>
        <w:tc>
          <w:tcPr>
            <w:tcW w:type="dxa" w:w="2736"/>
          </w:tcPr>
          <w:p>
            <w:pPr>
              <w:spacing w:after="40" w:before="40"/>
            </w:pPr>
            <w:r/>
            <w:r>
              <w:rPr>
                <w:sz w:val="17"/>
              </w:rPr>
              <w:t>2,628</w:t>
            </w:r>
          </w:p>
        </w:tc>
        <w:tc>
          <w:tcPr>
            <w:tcW w:type="dxa" w:w="2520"/>
          </w:tcPr>
          <w:p>
            <w:pPr>
              <w:spacing w:after="40" w:before="40"/>
            </w:pPr>
            <w:r/>
            <w:r>
              <w:rPr>
                <w:sz w:val="17"/>
              </w:rPr>
              <w:t>281 / 220</w:t>
            </w:r>
          </w:p>
        </w:tc>
        <w:tc>
          <w:tcPr>
            <w:tcW w:type="dxa" w:w="2520"/>
          </w:tcPr>
          <w:p>
            <w:pPr>
              <w:spacing w:after="40" w:before="40"/>
            </w:pPr>
            <w:r/>
            <w:r>
              <w:rPr>
                <w:sz w:val="17"/>
              </w:rPr>
              <w:t>301 / 1,287</w:t>
            </w:r>
          </w:p>
        </w:tc>
      </w:tr>
      <w:tr>
        <w:tc>
          <w:tcPr>
            <w:tcW w:type="dxa" w:w="2304"/>
          </w:tcPr>
          <w:p>
            <w:pPr>
              <w:spacing w:after="40" w:before="40"/>
            </w:pPr>
            <w:r/>
            <w:r>
              <w:rPr>
                <w:sz w:val="17"/>
              </w:rPr>
              <w:t>Thalamus</w:t>
            </w:r>
          </w:p>
        </w:tc>
        <w:tc>
          <w:tcPr>
            <w:tcW w:type="dxa" w:w="2736"/>
          </w:tcPr>
          <w:p>
            <w:pPr>
              <w:spacing w:after="40" w:before="40"/>
            </w:pPr>
            <w:r/>
            <w:r>
              <w:rPr>
                <w:sz w:val="17"/>
              </w:rPr>
              <w:t>21,900</w:t>
            </w:r>
          </w:p>
        </w:tc>
        <w:tc>
          <w:tcPr>
            <w:tcW w:type="dxa" w:w="2520"/>
          </w:tcPr>
          <w:p>
            <w:pPr>
              <w:spacing w:after="40" w:before="40"/>
            </w:pPr>
            <w:r/>
            <w:r>
              <w:rPr>
                <w:sz w:val="17"/>
              </w:rPr>
              <w:t>193</w:t>
            </w:r>
          </w:p>
        </w:tc>
        <w:tc>
          <w:tcPr>
            <w:tcW w:type="dxa" w:w="2520"/>
          </w:tcPr>
          <w:p>
            <w:pPr>
              <w:spacing w:after="40" w:before="40"/>
            </w:pPr>
            <w:r/>
            <w:r>
              <w:rPr>
                <w:sz w:val="17"/>
              </w:rPr>
              <w:t>1,842</w:t>
            </w:r>
          </w:p>
        </w:tc>
      </w:tr>
    </w:tbl>
    <w:p/>
    <w:p>
      <w:pPr>
        <w:spacing w:after="200"/>
      </w:pPr>
      <w:r>
        <w:rPr>
          <w:i/>
          <w:sz w:val="18"/>
        </w:rPr>
        <w:t>CSF, Day 2 medians: dog 25.5 / 361.4 / 2,041.2 ng/mL at 20 / 60 / 200 mg; rat 11.8 / 147.9 / 581.9 ng/mL at 0.3 / 1.0 / 3.0 mg. Individual dog high-dose Day 2 CSF values span 1.2 to 287,911 ng/mL — a five-order-of-magnitude range that reflects lumbar sampling proximity to the injection site and is a reason to report CSF drug concentration as a distribution, never as a single mean.</w:t>
      </w:r>
    </w:p>
    <w:p>
      <w:pPr>
        <w:pStyle w:val="Heading2"/>
      </w:pPr>
      <w:r>
        <w:t>4.1 A desk-derived pharmacodynamic anchor for dose selection</w:t>
      </w:r>
    </w:p>
    <w:p>
      <w:r>
        <w:rPr>
          <w:b w:val="0"/>
          <w:i w:val="0"/>
        </w:rPr>
        <w:t>Study CMR-2521 (Tg26372 humanized PRNP mice, ICV, 30-day harvest) supports a per-animal exposure–response relationship, because the animal identifiers in raw_data/analytic/pk.tsv match the CMR-2521 animals in studysheets.tsv (43 of 48 animals paired; the unpaired five are the day-4/5 animals). This is a direct pairing, not an inference across studies. Residual PRNP mRNA is expressed against the mean of the aCSF controls (2^−ΔΔCt = 1.01, n = 6, normalized to TBP).</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1656"/>
          </w:tcPr>
          <w:p>
            <w:pPr>
              <w:spacing w:after="40" w:before="40"/>
            </w:pPr>
            <w:r/>
            <w:r>
              <w:rPr>
                <w:b/>
                <w:sz w:val="17"/>
              </w:rPr>
              <w:t>Nominal dose (nmol)</w:t>
            </w:r>
          </w:p>
        </w:tc>
        <w:tc>
          <w:tcPr>
            <w:tcW w:type="dxa" w:w="2088"/>
          </w:tcPr>
          <w:p>
            <w:pPr>
              <w:spacing w:after="40" w:before="40"/>
            </w:pPr>
            <w:r/>
            <w:r>
              <w:rPr>
                <w:b/>
                <w:sz w:val="17"/>
              </w:rPr>
              <w:t>Hypochromicity-corrected mass (µg)</w:t>
            </w:r>
          </w:p>
        </w:tc>
        <w:tc>
          <w:tcPr>
            <w:tcW w:type="dxa" w:w="576"/>
          </w:tcPr>
          <w:p>
            <w:pPr>
              <w:spacing w:after="40" w:before="40"/>
            </w:pPr>
            <w:r/>
            <w:r>
              <w:rPr>
                <w:b/>
                <w:sz w:val="17"/>
              </w:rPr>
              <w:t>n</w:t>
            </w:r>
          </w:p>
        </w:tc>
        <w:tc>
          <w:tcPr>
            <w:tcW w:type="dxa" w:w="2664"/>
          </w:tcPr>
          <w:p>
            <w:pPr>
              <w:spacing w:after="40" w:before="40"/>
            </w:pPr>
            <w:r/>
            <w:r>
              <w:rPr>
                <w:b/>
                <w:sz w:val="17"/>
              </w:rPr>
              <w:t>Residual PRNP mRNA, median (% of aCSF)</w:t>
            </w:r>
          </w:p>
        </w:tc>
        <w:tc>
          <w:tcPr>
            <w:tcW w:type="dxa" w:w="2736"/>
          </w:tcPr>
          <w:p>
            <w:pPr>
              <w:spacing w:after="40" w:before="40"/>
            </w:pPr>
            <w:r/>
            <w:r>
              <w:rPr>
                <w:b/>
                <w:sz w:val="17"/>
              </w:rPr>
              <w:t>Brain drug concentration, median (ng/g)</w:t>
            </w:r>
          </w:p>
        </w:tc>
      </w:tr>
      <w:tr>
        <w:tc>
          <w:tcPr>
            <w:tcW w:type="dxa" w:w="1656"/>
          </w:tcPr>
          <w:p>
            <w:pPr>
              <w:spacing w:after="40" w:before="40"/>
            </w:pPr>
            <w:r/>
            <w:r>
              <w:rPr>
                <w:sz w:val="17"/>
              </w:rPr>
              <w:t>0 (aCSF)</w:t>
            </w:r>
          </w:p>
        </w:tc>
        <w:tc>
          <w:tcPr>
            <w:tcW w:type="dxa" w:w="2088"/>
          </w:tcPr>
          <w:p>
            <w:pPr>
              <w:spacing w:after="40" w:before="40"/>
            </w:pPr>
            <w:r/>
            <w:r>
              <w:rPr>
                <w:sz w:val="17"/>
              </w:rPr>
              <w:t>0</w:t>
            </w:r>
          </w:p>
        </w:tc>
        <w:tc>
          <w:tcPr>
            <w:tcW w:type="dxa" w:w="576"/>
          </w:tcPr>
          <w:p>
            <w:pPr>
              <w:spacing w:after="40" w:before="40"/>
            </w:pPr>
            <w:r/>
            <w:r>
              <w:rPr>
                <w:sz w:val="17"/>
              </w:rPr>
              <w:t>6</w:t>
            </w:r>
          </w:p>
        </w:tc>
        <w:tc>
          <w:tcPr>
            <w:tcW w:type="dxa" w:w="2664"/>
          </w:tcPr>
          <w:p>
            <w:pPr>
              <w:spacing w:after="40" w:before="40"/>
            </w:pPr>
            <w:r/>
            <w:r>
              <w:rPr>
                <w:sz w:val="17"/>
              </w:rPr>
              <w:t>99%</w:t>
            </w:r>
          </w:p>
        </w:tc>
        <w:tc>
          <w:tcPr>
            <w:tcW w:type="dxa" w:w="2736"/>
          </w:tcPr>
          <w:p>
            <w:pPr>
              <w:spacing w:after="40" w:before="40"/>
            </w:pPr>
            <w:r/>
            <w:r>
              <w:rPr>
                <w:sz w:val="17"/>
              </w:rPr>
              <w:t>15.6 (single quantifiable value)</w:t>
            </w:r>
          </w:p>
        </w:tc>
      </w:tr>
      <w:tr>
        <w:tc>
          <w:tcPr>
            <w:tcW w:type="dxa" w:w="1656"/>
          </w:tcPr>
          <w:p>
            <w:pPr>
              <w:spacing w:after="40" w:before="40"/>
            </w:pPr>
            <w:r/>
            <w:r>
              <w:rPr>
                <w:sz w:val="17"/>
              </w:rPr>
              <w:t>0.1</w:t>
            </w:r>
          </w:p>
        </w:tc>
        <w:tc>
          <w:tcPr>
            <w:tcW w:type="dxa" w:w="2088"/>
          </w:tcPr>
          <w:p>
            <w:pPr>
              <w:spacing w:after="40" w:before="40"/>
            </w:pPr>
            <w:r/>
            <w:r>
              <w:rPr>
                <w:sz w:val="17"/>
              </w:rPr>
              <w:t>7</w:t>
            </w:r>
          </w:p>
        </w:tc>
        <w:tc>
          <w:tcPr>
            <w:tcW w:type="dxa" w:w="576"/>
          </w:tcPr>
          <w:p>
            <w:pPr>
              <w:spacing w:after="40" w:before="40"/>
            </w:pPr>
            <w:r/>
            <w:r>
              <w:rPr>
                <w:sz w:val="17"/>
              </w:rPr>
              <w:t>7</w:t>
            </w:r>
          </w:p>
        </w:tc>
        <w:tc>
          <w:tcPr>
            <w:tcW w:type="dxa" w:w="2664"/>
          </w:tcPr>
          <w:p>
            <w:pPr>
              <w:spacing w:after="40" w:before="40"/>
            </w:pPr>
            <w:r/>
            <w:r>
              <w:rPr>
                <w:sz w:val="17"/>
              </w:rPr>
              <w:t>76%</w:t>
            </w:r>
          </w:p>
        </w:tc>
        <w:tc>
          <w:tcPr>
            <w:tcW w:type="dxa" w:w="2736"/>
          </w:tcPr>
          <w:p>
            <w:pPr>
              <w:spacing w:after="40" w:before="40"/>
            </w:pPr>
            <w:r/>
            <w:r>
              <w:rPr>
                <w:sz w:val="17"/>
              </w:rPr>
              <w:t>133</w:t>
            </w:r>
          </w:p>
        </w:tc>
      </w:tr>
      <w:tr>
        <w:tc>
          <w:tcPr>
            <w:tcW w:type="dxa" w:w="1656"/>
          </w:tcPr>
          <w:p>
            <w:pPr>
              <w:spacing w:after="40" w:before="40"/>
            </w:pPr>
            <w:r/>
            <w:r>
              <w:rPr>
                <w:sz w:val="17"/>
              </w:rPr>
              <w:t>0.3</w:t>
            </w:r>
          </w:p>
        </w:tc>
        <w:tc>
          <w:tcPr>
            <w:tcW w:type="dxa" w:w="2088"/>
          </w:tcPr>
          <w:p>
            <w:pPr>
              <w:spacing w:after="40" w:before="40"/>
            </w:pPr>
            <w:r/>
            <w:r>
              <w:rPr>
                <w:sz w:val="17"/>
              </w:rPr>
              <w:t>~21</w:t>
            </w:r>
          </w:p>
        </w:tc>
        <w:tc>
          <w:tcPr>
            <w:tcW w:type="dxa" w:w="576"/>
          </w:tcPr>
          <w:p>
            <w:pPr>
              <w:spacing w:after="40" w:before="40"/>
            </w:pPr>
            <w:r/>
            <w:r>
              <w:rPr>
                <w:sz w:val="17"/>
              </w:rPr>
              <w:t>8</w:t>
            </w:r>
          </w:p>
        </w:tc>
        <w:tc>
          <w:tcPr>
            <w:tcW w:type="dxa" w:w="2664"/>
          </w:tcPr>
          <w:p>
            <w:pPr>
              <w:spacing w:after="40" w:before="40"/>
            </w:pPr>
            <w:r/>
            <w:r>
              <w:rPr>
                <w:sz w:val="17"/>
              </w:rPr>
              <w:t>60%</w:t>
            </w:r>
          </w:p>
        </w:tc>
        <w:tc>
          <w:tcPr>
            <w:tcW w:type="dxa" w:w="2736"/>
          </w:tcPr>
          <w:p>
            <w:pPr>
              <w:spacing w:after="40" w:before="40"/>
            </w:pPr>
            <w:r/>
            <w:r>
              <w:rPr>
                <w:sz w:val="17"/>
              </w:rPr>
              <w:t>708</w:t>
            </w:r>
          </w:p>
        </w:tc>
      </w:tr>
      <w:tr>
        <w:tc>
          <w:tcPr>
            <w:tcW w:type="dxa" w:w="1656"/>
          </w:tcPr>
          <w:p>
            <w:pPr>
              <w:spacing w:after="40" w:before="40"/>
            </w:pPr>
            <w:r/>
            <w:r>
              <w:rPr>
                <w:sz w:val="17"/>
              </w:rPr>
              <w:t>1</w:t>
            </w:r>
          </w:p>
        </w:tc>
        <w:tc>
          <w:tcPr>
            <w:tcW w:type="dxa" w:w="2088"/>
          </w:tcPr>
          <w:p>
            <w:pPr>
              <w:spacing w:after="40" w:before="40"/>
            </w:pPr>
            <w:r/>
            <w:r>
              <w:rPr>
                <w:sz w:val="17"/>
              </w:rPr>
              <w:t>35</w:t>
            </w:r>
          </w:p>
        </w:tc>
        <w:tc>
          <w:tcPr>
            <w:tcW w:type="dxa" w:w="576"/>
          </w:tcPr>
          <w:p>
            <w:pPr>
              <w:spacing w:after="40" w:before="40"/>
            </w:pPr>
            <w:r/>
            <w:r>
              <w:rPr>
                <w:sz w:val="17"/>
              </w:rPr>
              <w:t>7</w:t>
            </w:r>
          </w:p>
        </w:tc>
        <w:tc>
          <w:tcPr>
            <w:tcW w:type="dxa" w:w="2664"/>
          </w:tcPr>
          <w:p>
            <w:pPr>
              <w:spacing w:after="40" w:before="40"/>
            </w:pPr>
            <w:r/>
            <w:r>
              <w:rPr>
                <w:sz w:val="17"/>
              </w:rPr>
              <w:t>48%</w:t>
            </w:r>
          </w:p>
        </w:tc>
        <w:tc>
          <w:tcPr>
            <w:tcW w:type="dxa" w:w="2736"/>
          </w:tcPr>
          <w:p>
            <w:pPr>
              <w:spacing w:after="40" w:before="40"/>
            </w:pPr>
            <w:r/>
            <w:r>
              <w:rPr>
                <w:sz w:val="17"/>
              </w:rPr>
              <w:t>1,005</w:t>
            </w:r>
          </w:p>
        </w:tc>
      </w:tr>
      <w:tr>
        <w:tc>
          <w:tcPr>
            <w:tcW w:type="dxa" w:w="1656"/>
          </w:tcPr>
          <w:p>
            <w:pPr>
              <w:spacing w:after="40" w:before="40"/>
            </w:pPr>
            <w:r/>
            <w:r>
              <w:rPr>
                <w:sz w:val="17"/>
              </w:rPr>
              <w:t>3</w:t>
            </w:r>
          </w:p>
        </w:tc>
        <w:tc>
          <w:tcPr>
            <w:tcW w:type="dxa" w:w="2088"/>
          </w:tcPr>
          <w:p>
            <w:pPr>
              <w:spacing w:after="40" w:before="40"/>
            </w:pPr>
            <w:r/>
            <w:r>
              <w:rPr>
                <w:sz w:val="17"/>
              </w:rPr>
              <w:t>~104</w:t>
            </w:r>
          </w:p>
        </w:tc>
        <w:tc>
          <w:tcPr>
            <w:tcW w:type="dxa" w:w="576"/>
          </w:tcPr>
          <w:p>
            <w:pPr>
              <w:spacing w:after="40" w:before="40"/>
            </w:pPr>
            <w:r/>
            <w:r>
              <w:rPr>
                <w:sz w:val="17"/>
              </w:rPr>
              <w:t>8</w:t>
            </w:r>
          </w:p>
        </w:tc>
        <w:tc>
          <w:tcPr>
            <w:tcW w:type="dxa" w:w="2664"/>
          </w:tcPr>
          <w:p>
            <w:pPr>
              <w:spacing w:after="40" w:before="40"/>
            </w:pPr>
            <w:r/>
            <w:r>
              <w:rPr>
                <w:sz w:val="17"/>
              </w:rPr>
              <w:t>28%</w:t>
            </w:r>
          </w:p>
        </w:tc>
        <w:tc>
          <w:tcPr>
            <w:tcW w:type="dxa" w:w="2736"/>
          </w:tcPr>
          <w:p>
            <w:pPr>
              <w:spacing w:after="40" w:before="40"/>
            </w:pPr>
            <w:r/>
            <w:r>
              <w:rPr>
                <w:sz w:val="17"/>
              </w:rPr>
              <w:t>4,151</w:t>
            </w:r>
          </w:p>
        </w:tc>
      </w:tr>
      <w:tr>
        <w:tc>
          <w:tcPr>
            <w:tcW w:type="dxa" w:w="1656"/>
          </w:tcPr>
          <w:p>
            <w:pPr>
              <w:spacing w:after="40" w:before="40"/>
            </w:pPr>
            <w:r/>
            <w:r>
              <w:rPr>
                <w:sz w:val="17"/>
              </w:rPr>
              <w:t>10</w:t>
            </w:r>
          </w:p>
        </w:tc>
        <w:tc>
          <w:tcPr>
            <w:tcW w:type="dxa" w:w="2088"/>
          </w:tcPr>
          <w:p>
            <w:pPr>
              <w:spacing w:after="40" w:before="40"/>
            </w:pPr>
            <w:r/>
            <w:r>
              <w:rPr>
                <w:sz w:val="17"/>
              </w:rPr>
              <w:t>348</w:t>
            </w:r>
          </w:p>
        </w:tc>
        <w:tc>
          <w:tcPr>
            <w:tcW w:type="dxa" w:w="576"/>
          </w:tcPr>
          <w:p>
            <w:pPr>
              <w:spacing w:after="40" w:before="40"/>
            </w:pPr>
            <w:r/>
            <w:r>
              <w:rPr>
                <w:sz w:val="17"/>
              </w:rPr>
              <w:t>7</w:t>
            </w:r>
          </w:p>
        </w:tc>
        <w:tc>
          <w:tcPr>
            <w:tcW w:type="dxa" w:w="2664"/>
          </w:tcPr>
          <w:p>
            <w:pPr>
              <w:spacing w:after="40" w:before="40"/>
            </w:pPr>
            <w:r/>
            <w:r>
              <w:rPr>
                <w:sz w:val="17"/>
              </w:rPr>
              <w:t>16%</w:t>
            </w:r>
          </w:p>
        </w:tc>
        <w:tc>
          <w:tcPr>
            <w:tcW w:type="dxa" w:w="2736"/>
          </w:tcPr>
          <w:p>
            <w:pPr>
              <w:spacing w:after="40" w:before="40"/>
            </w:pPr>
            <w:r/>
            <w:r>
              <w:rPr>
                <w:sz w:val="17"/>
              </w:rPr>
              <w:t>11,705</w:t>
            </w:r>
          </w:p>
        </w:tc>
      </w:tr>
    </w:tbl>
    <w:p/>
    <w:p>
      <w:r>
        <w:rPr>
          <w:b w:val="0"/>
          <w:i w:val="0"/>
        </w:rPr>
        <w:t>Read across the two panels: approximately 1,000 ng/g of whole-brain drug is associated with about 50% PRNP mRNA lowering, and approximately 4,000 ng/g with about 70%. The chemistry label in these files is 2439-loPS-exNA, consistent with the four antisense phosphorothioate linkages specified in 3.2.S.1.2 for 2439-exNA; the response should confirm the configuration against the study report before quoting the anchor externally. Whole-hemisphere homogenate concentrations and regional punch concentrations are not interchangeable, so this anchor is used here for dose-setting only and is not offered as a margin.</w:t>
      </w:r>
    </w:p>
    <w:p>
      <w:r>
        <w:rPr>
          <w:b/>
        </w:rPr>
        <w:t xml:space="preserve">Why this reframes the species argument. </w:t>
      </w:r>
      <w:r>
        <w:rPr>
          <w:b w:val="0"/>
        </w:rPr>
        <w:t>At the dog top dose — 200 mg, the same absolute mass as the maximum proposed human dose — the median thalamic concentration on Day 2 was 193 ng/g, roughly five-fold below the concentration associated with half-maximal lowering in the humanized mouse, rising to 1,842 ng/g by Day 29. A dog study therefore fails the deficiency twice over: the sequence is not matched, and even if it were, deep-gray exposure at the maximum feasible dose sits at or below the pharmacologic threshold. This is the quantitative form of the objection Dr. Arnold raised in the 8 April working-group meeting, and it is the argument to carry. It also sets a design requirement for the cynomolgus study: regional drug concentration must be measured in the same animals and same regions as the pharmacodynamic readout, so that a negative neurologic finding can be shown to have occurred under demonstrated target engagement rather than under insufficient exposure.</w:t>
      </w:r>
    </w:p>
    <w:p>
      <w:pPr>
        <w:pStyle w:val="Heading1"/>
      </w:pPr>
      <w:r>
        <w:t>5. What the humanized-mouse package can and cannot be asked to do</w:t>
      </w:r>
    </w:p>
    <w:p>
      <w:r>
        <w:rPr>
          <w:b w:val="0"/>
          <w:i w:val="0"/>
        </w:rPr>
        <w:t>REGOPS-MEMO-2025-04-02 proposes a rebuttal in which the Tg25109 and Tg26372 data "substantively address" the on-target concern. Nonclinical cannot support that position, for reasons that are in our own records and would be found immediately.</w:t>
      </w:r>
    </w:p>
    <w:p>
      <w:pPr>
        <w:pStyle w:val="ListBullet"/>
      </w:pPr>
      <w:r>
        <w:t>Insertional confounders, Tg25109 (translational/Tg25109-transgene-mapping-report): integration on chromosome 12 with 413 kb and 62 kb deletions removing Tmx1 exons 1–8 and Frmd6 exons 2–14; 18 single-nucleotide variants and 3 transgene–transgene fusions; transgene breakpoints not identified; homozygotes at 6 copies / 2.0× expression are sub-viable.</w:t>
      </w:r>
    </w:p>
    <w:p>
      <w:pPr>
        <w:pStyle w:val="ListBullet"/>
      </w:pPr>
      <w:r>
        <w:t>Insertional confounders, Tg26372: integration at chr18:89,628,561–89,676,017 within intron 1–2 of Dok6 with a 47 kb deletion; "An exact copy number cannot be determined using TLA" (estimated 10–20); a CATG motif near the breakpoint prompts a recommendation for independent validation; homozygotes express PrP at 5.4× wild type.</w:t>
      </w:r>
    </w:p>
    <w:p>
      <w:pPr>
        <w:pStyle w:val="ListBullet"/>
      </w:pPr>
      <w:r>
        <w:t>Direction of the confounding is unhelpful to us. A line that overexpresses PrP several-fold and simultaneously disrupts two genes cannot be used to argue that lowering PrP is safe. Neurologic phenotypes in such a line are uninterpretable in either direction, and a reviewer will say so.</w:t>
      </w:r>
    </w:p>
    <w:p>
      <w:pPr>
        <w:pStyle w:val="ListBullet"/>
      </w:pPr>
      <w:r>
        <w:t>No relevant endpoint. The humanized-mouse studies measured target engagement and durability. They contain no functional observational battery, no nerve conduction, no sensory testing and no peripheral-nerve histopathology — the endpoints FDA’s concern is about.</w:t>
      </w:r>
    </w:p>
    <w:p>
      <w:pPr>
        <w:pStyle w:val="ListBullet"/>
      </w:pPr>
      <w:r>
        <w:t>Assay behavior at the low end. raw_data/analytic/elisa_qc.tsv shows the low QC pool (nominal 10% residual PrP) reading 0.156 (n = 22, CV 15.3%) and 0.185 (n = 8, CV 17.5%), with negative/knockout pools at 0.060–0.079 (CV 28–38%) and mid QC at 0.583 against a nominal 50%. 4.2.1.1 discloses this: "the low QC, designed to mimic 10% residual PrP, averaged 17% residual PrP." Deep lowering is therefore biased upward and imprecise. This works in our favor for efficacy claims — true lowering is deeper than reported — but it means residual-PrP values below roughly 20% should be reported with the bias stated, and it sets a floor on what the assay can resolve.</w:t>
      </w:r>
    </w:p>
    <w:p>
      <w:r>
        <w:rPr>
          <w:b w:val="0"/>
          <w:i w:val="0"/>
        </w:rPr>
        <w:t>The literature that FDA is drawing on cuts both ways and should be engaged directly rather than avoided: Bremer et al. 2010 describes a chronic demyelinating polyneuropathy in aged homozygous PrP-knockout mice attributable to loss of a peripheral-myelin maintenance function, replicated in goats by Skedsmo et al. 2019, and the Investigator’s Brochure already concedes that mild peripheral neuropathy in &gt;1-year-old homozygous knockouts is the one known on-target effect. That literature predicts a specific, measurable hazard — peripheral nerve, not only central behavior — and it is the reason the cynomolgus endpoint set in Section 7.6 is built around nerve conduction and peripheral-nerve morphometry rather than observational scoring alone.</w:t>
      </w:r>
    </w:p>
    <w:p>
      <w:pPr>
        <w:pStyle w:val="Heading1"/>
      </w:pPr>
      <w:r>
        <w:t>6. Assessment of the internal bridging options</w:t>
      </w:r>
    </w:p>
    <w:p>
      <w:pPr>
        <w:pStyle w:val="Heading2"/>
      </w:pPr>
      <w:r>
        <w:t>6.1 The working-group options (NONCLIN-MINUTES-2025-04-08)</w:t>
      </w:r>
    </w:p>
    <w:tbl>
      <w:tblPr>
        <w:tblStyle w:val="TableGrid"/>
        <w:tblW w:type="auto" w:w="0"/>
        <w:jc w:val="center"/>
        <w:tblLook w:firstColumn="1" w:firstRow="1" w:lastColumn="0" w:lastRow="0" w:noHBand="0" w:noVBand="1" w:val="04A0"/>
      </w:tblPr>
      <w:tblGrid>
        <w:gridCol w:w="3264"/>
        <w:gridCol w:w="3264"/>
        <w:gridCol w:w="3264"/>
      </w:tblGrid>
      <w:tr>
        <w:tc>
          <w:tcPr>
            <w:tcW w:type="dxa" w:w="1944"/>
          </w:tcPr>
          <w:p>
            <w:pPr>
              <w:spacing w:after="40" w:before="40"/>
            </w:pPr>
            <w:r/>
            <w:r>
              <w:rPr>
                <w:b/>
                <w:sz w:val="17"/>
              </w:rPr>
            </w:r>
          </w:p>
        </w:tc>
        <w:tc>
          <w:tcPr>
            <w:tcW w:type="dxa" w:w="4104"/>
          </w:tcPr>
          <w:p>
            <w:pPr>
              <w:spacing w:after="40" w:before="40"/>
            </w:pPr>
            <w:r/>
            <w:r>
              <w:rPr>
                <w:b/>
                <w:sz w:val="17"/>
              </w:rPr>
              <w:t>Option A — 8-week dog, IT q2w, with FOB</w:t>
            </w:r>
          </w:p>
        </w:tc>
        <w:tc>
          <w:tcPr>
            <w:tcW w:type="dxa" w:w="4032"/>
          </w:tcPr>
          <w:p>
            <w:pPr>
              <w:spacing w:after="40" w:before="40"/>
            </w:pPr>
            <w:r/>
            <w:r>
              <w:rPr>
                <w:b/>
                <w:sz w:val="17"/>
              </w:rPr>
              <w:t>Option B — cynomolgus, duration ≥ clinical interval</w:t>
            </w:r>
          </w:p>
        </w:tc>
      </w:tr>
      <w:tr>
        <w:tc>
          <w:tcPr>
            <w:tcW w:type="dxa" w:w="1944"/>
          </w:tcPr>
          <w:p>
            <w:pPr>
              <w:spacing w:after="40" w:before="40"/>
            </w:pPr>
            <w:r/>
            <w:r>
              <w:rPr>
                <w:sz w:val="17"/>
              </w:rPr>
              <w:t>Answers the species-relevance deficiency?</w:t>
            </w:r>
          </w:p>
        </w:tc>
        <w:tc>
          <w:tcPr>
            <w:tcW w:type="dxa" w:w="4104"/>
          </w:tcPr>
          <w:p>
            <w:pPr>
              <w:spacing w:after="40" w:before="40"/>
            </w:pPr>
            <w:r/>
            <w:r>
              <w:rPr>
                <w:sz w:val="17"/>
              </w:rPr>
              <w:t>No. Dog is not matched at bases 2–17.</w:t>
            </w:r>
          </w:p>
        </w:tc>
        <w:tc>
          <w:tcPr>
            <w:tcW w:type="dxa" w:w="4032"/>
          </w:tcPr>
          <w:p>
            <w:pPr>
              <w:spacing w:after="40" w:before="40"/>
            </w:pPr>
            <w:r/>
            <w:r>
              <w:rPr>
                <w:sz w:val="17"/>
              </w:rPr>
              <w:t>Yes. Perfect match at bases 2–17.</w:t>
            </w:r>
          </w:p>
        </w:tc>
      </w:tr>
      <w:tr>
        <w:tc>
          <w:tcPr>
            <w:tcW w:type="dxa" w:w="1944"/>
          </w:tcPr>
          <w:p>
            <w:pPr>
              <w:spacing w:after="40" w:before="40"/>
            </w:pPr>
            <w:r/>
            <w:r>
              <w:rPr>
                <w:sz w:val="17"/>
              </w:rPr>
              <w:t>Answers the on-target deficiency?</w:t>
            </w:r>
          </w:p>
        </w:tc>
        <w:tc>
          <w:tcPr>
            <w:tcW w:type="dxa" w:w="4104"/>
          </w:tcPr>
          <w:p>
            <w:pPr>
              <w:spacing w:after="40" w:before="40"/>
            </w:pPr>
            <w:r/>
            <w:r>
              <w:rPr>
                <w:sz w:val="17"/>
              </w:rPr>
              <w:t>No. There is no on-target effect to measure in dog, so no PD endpoint can be run and no exposure–response can be established.</w:t>
            </w:r>
          </w:p>
        </w:tc>
        <w:tc>
          <w:tcPr>
            <w:tcW w:type="dxa" w:w="4032"/>
          </w:tcPr>
          <w:p>
            <w:pPr>
              <w:spacing w:after="40" w:before="40"/>
            </w:pPr>
            <w:r/>
            <w:r>
              <w:rPr>
                <w:sz w:val="17"/>
              </w:rPr>
              <w:t>Yes, if PD endpoints are built in (Section 7.6).</w:t>
            </w:r>
          </w:p>
        </w:tc>
      </w:tr>
      <w:tr>
        <w:tc>
          <w:tcPr>
            <w:tcW w:type="dxa" w:w="1944"/>
          </w:tcPr>
          <w:p>
            <w:pPr>
              <w:spacing w:after="40" w:before="40"/>
            </w:pPr>
            <w:r/>
            <w:r>
              <w:rPr>
                <w:sz w:val="17"/>
              </w:rPr>
              <w:t>Answers the neurobehavioral deficiency?</w:t>
            </w:r>
          </w:p>
        </w:tc>
        <w:tc>
          <w:tcPr>
            <w:tcW w:type="dxa" w:w="4104"/>
          </w:tcPr>
          <w:p>
            <w:pPr>
              <w:spacing w:after="40" w:before="40"/>
            </w:pPr>
            <w:r/>
            <w:r>
              <w:rPr>
                <w:sz w:val="17"/>
              </w:rPr>
              <w:t>Only for non-hybridization hazard. A negative FOB in dog cannot speak to the consequences of lowering PrP.</w:t>
            </w:r>
          </w:p>
        </w:tc>
        <w:tc>
          <w:tcPr>
            <w:tcW w:type="dxa" w:w="4032"/>
          </w:tcPr>
          <w:p>
            <w:pPr>
              <w:spacing w:after="40" w:before="40"/>
            </w:pPr>
            <w:r/>
            <w:r>
              <w:rPr>
                <w:sz w:val="17"/>
              </w:rPr>
              <w:t>Yes — and only if the battery is specialized rather than observational (Section 7.6).</w:t>
            </w:r>
          </w:p>
        </w:tc>
      </w:tr>
      <w:tr>
        <w:tc>
          <w:tcPr>
            <w:tcW w:type="dxa" w:w="1944"/>
          </w:tcPr>
          <w:p>
            <w:pPr>
              <w:spacing w:after="40" w:before="40"/>
            </w:pPr>
            <w:r/>
            <w:r>
              <w:rPr>
                <w:sz w:val="17"/>
              </w:rPr>
              <w:t>Additional quantitative objection</w:t>
            </w:r>
          </w:p>
        </w:tc>
        <w:tc>
          <w:tcPr>
            <w:tcW w:type="dxa" w:w="4104"/>
          </w:tcPr>
          <w:p>
            <w:pPr>
              <w:spacing w:after="40" w:before="40"/>
            </w:pPr>
            <w:r/>
            <w:r>
              <w:rPr>
                <w:sz w:val="17"/>
              </w:rPr>
              <w:t>At 200 mg in dog, median Day 2 thalamic exposure was 193 ng/g — below the ~1,000 ng/g associated with 50% lowering. Even a hypothetically matched dog would be under-exposed in deep gray.</w:t>
            </w:r>
          </w:p>
        </w:tc>
        <w:tc>
          <w:tcPr>
            <w:tcW w:type="dxa" w:w="4032"/>
          </w:tcPr>
          <w:p>
            <w:pPr>
              <w:spacing w:after="40" w:before="40"/>
            </w:pPr>
            <w:r/>
            <w:r>
              <w:rPr>
                <w:sz w:val="17"/>
              </w:rPr>
              <w:t>Dose levels are set to demonstrated exposure–response, with regional concentrations measured in the same animals.</w:t>
            </w:r>
          </w:p>
        </w:tc>
      </w:tr>
      <w:tr>
        <w:tc>
          <w:tcPr>
            <w:tcW w:type="dxa" w:w="1944"/>
          </w:tcPr>
          <w:p>
            <w:pPr>
              <w:spacing w:after="40" w:before="40"/>
            </w:pPr>
            <w:r/>
            <w:r>
              <w:rPr>
                <w:sz w:val="17"/>
              </w:rPr>
              <w:t>Capacity</w:t>
            </w:r>
          </w:p>
        </w:tc>
        <w:tc>
          <w:tcPr>
            <w:tcW w:type="dxa" w:w="4104"/>
          </w:tcPr>
          <w:p>
            <w:pPr>
              <w:spacing w:after="40" w:before="40"/>
            </w:pPr>
            <w:r/>
            <w:r>
              <w:rPr>
                <w:sz w:val="17"/>
              </w:rPr>
              <w:t>AmplifyBio’s April 2025 shutdown removes guaranteed capacity for either option (Romero). This is a scheduling constraint, not a scientific argument, and it applies equally to both.</w:t>
            </w:r>
          </w:p>
        </w:tc>
        <w:tc>
          <w:tcPr>
            <w:tcW w:type="dxa" w:w="4032"/>
          </w:tcPr>
          <w:p>
            <w:pPr>
              <w:spacing w:after="40" w:before="40"/>
            </w:pPr>
            <w:r/>
            <w:r>
              <w:rPr>
                <w:sz w:val="17"/>
              </w:rPr>
              <w:t>Same constraint. Requires an NHP-capable GLP facility with intrathecal dosing and NHP neurology/electrophysiology capability.</w:t>
            </w:r>
          </w:p>
        </w:tc>
      </w:tr>
      <w:tr>
        <w:tc>
          <w:tcPr>
            <w:tcW w:type="dxa" w:w="1944"/>
          </w:tcPr>
          <w:p>
            <w:pPr>
              <w:spacing w:after="40" w:before="40"/>
            </w:pPr>
            <w:r/>
            <w:r>
              <w:rPr>
                <w:sz w:val="17"/>
              </w:rPr>
              <w:t>Verdict</w:t>
            </w:r>
          </w:p>
        </w:tc>
        <w:tc>
          <w:tcPr>
            <w:tcW w:type="dxa" w:w="4104"/>
          </w:tcPr>
          <w:p>
            <w:pPr>
              <w:spacing w:after="40" w:before="40"/>
            </w:pPr>
            <w:r/>
            <w:r>
              <w:rPr>
                <w:sz w:val="17"/>
              </w:rPr>
              <w:t>Not responsive. Cheaper and faster, and it would produce a study FDA has already told us does not address the deficiency. Recommend against.</w:t>
            </w:r>
          </w:p>
        </w:tc>
        <w:tc>
          <w:tcPr>
            <w:tcW w:type="dxa" w:w="4032"/>
          </w:tcPr>
          <w:p>
            <w:pPr>
              <w:spacing w:after="40" w:before="40"/>
            </w:pPr>
            <w:r/>
            <w:r>
              <w:rPr>
                <w:sz w:val="17"/>
              </w:rPr>
              <w:t>The only responsive option. Recommended. Specified in Section 7.</w:t>
            </w:r>
          </w:p>
        </w:tc>
      </w:tr>
    </w:tbl>
    <w:p/>
    <w:p>
      <w:r>
        <w:rPr>
          <w:b w:val="0"/>
          <w:i w:val="0"/>
        </w:rPr>
        <w:t>The minutes record Dr. Arnold’s position — that the letter names cynomolgus and the dog program does not measure on-target toxicity because 2439-exNA is not pharmacologically active in dog — and record no consensus. This audit closes that item: the evidence supports Option B, and Section 4.1 adds an exposure-based objection to Option A that was not available at the meeting.</w:t>
      </w:r>
    </w:p>
    <w:p>
      <w:pPr>
        <w:pStyle w:val="Heading2"/>
      </w:pPr>
      <w:r>
        <w:t>6.2 Positions in the internal drafts that Nonclinical cannot sign</w:t>
      </w:r>
    </w:p>
    <w:tbl>
      <w:tblPr>
        <w:tblStyle w:val="TableGrid"/>
        <w:tblW w:type="auto" w:w="0"/>
        <w:jc w:val="center"/>
        <w:tblLook w:firstColumn="1" w:firstRow="1" w:lastColumn="0" w:lastRow="0" w:noHBand="0" w:noVBand="1" w:val="04A0"/>
      </w:tblPr>
      <w:tblGrid>
        <w:gridCol w:w="3264"/>
        <w:gridCol w:w="3264"/>
        <w:gridCol w:w="3264"/>
      </w:tblGrid>
      <w:tr>
        <w:tc>
          <w:tcPr>
            <w:tcW w:type="dxa" w:w="1944"/>
          </w:tcPr>
          <w:p>
            <w:pPr>
              <w:spacing w:after="40" w:before="40"/>
            </w:pPr>
            <w:r/>
            <w:r>
              <w:rPr>
                <w:b/>
                <w:sz w:val="16"/>
              </w:rPr>
              <w:t>Document</w:t>
            </w:r>
          </w:p>
        </w:tc>
        <w:tc>
          <w:tcPr>
            <w:tcW w:type="dxa" w:w="3024"/>
          </w:tcPr>
          <w:p>
            <w:pPr>
              <w:spacing w:after="40" w:before="40"/>
            </w:pPr>
            <w:r/>
            <w:r>
              <w:rPr>
                <w:b/>
                <w:sz w:val="16"/>
              </w:rPr>
              <w:t>Statement</w:t>
            </w:r>
          </w:p>
        </w:tc>
        <w:tc>
          <w:tcPr>
            <w:tcW w:type="dxa" w:w="5112"/>
          </w:tcPr>
          <w:p>
            <w:pPr>
              <w:spacing w:after="40" w:before="40"/>
            </w:pPr>
            <w:r/>
            <w:r>
              <w:rPr>
                <w:b/>
                <w:sz w:val="16"/>
              </w:rPr>
              <w:t>Nonclinical position</w:t>
            </w:r>
          </w:p>
        </w:tc>
      </w:tr>
      <w:tr>
        <w:tc>
          <w:tcPr>
            <w:tcW w:type="dxa" w:w="1944"/>
          </w:tcPr>
          <w:p>
            <w:pPr>
              <w:spacing w:after="40" w:before="40"/>
            </w:pPr>
            <w:r/>
            <w:r>
              <w:rPr>
                <w:sz w:val="16"/>
              </w:rPr>
              <w:t>REGOPS-DRAFT-2025-04-09 (skeleton v1)</w:t>
            </w:r>
          </w:p>
        </w:tc>
        <w:tc>
          <w:tcPr>
            <w:tcW w:type="dxa" w:w="3024"/>
          </w:tcPr>
          <w:p>
            <w:pPr>
              <w:spacing w:after="40" w:before="40"/>
            </w:pPr>
            <w:r/>
            <w:r>
              <w:rPr>
                <w:sz w:val="16"/>
              </w:rPr>
              <w:t>Cynomolgus study duration "approximately 6 weeks," described as consistent with the proposed clinical dosing schedule</w:t>
            </w:r>
          </w:p>
        </w:tc>
        <w:tc>
          <w:tcPr>
            <w:tcW w:type="dxa" w:w="5112"/>
          </w:tcPr>
          <w:p>
            <w:pPr>
              <w:spacing w:after="40" w:before="40"/>
            </w:pPr>
            <w:r/>
            <w:r>
              <w:rPr>
                <w:sz w:val="16"/>
              </w:rPr>
              <w:t>Not supportable. The letter requires a duration "similar to or greater than that proposed for humans." The held protocol carries a 24-week (168-day) post-dose monitoring period with lumbar punctures at Weeks 4, 8, 12 and 24, and the sponsor’s own Request for Comments (1.12.4) proposes loading doses on Days 0 and 7 followed by re-dosing at approximately 90-day intervals for more than 9 months. Six weeks is shorter than the clinical observation period and shorter than a single intended dosing interval. Offering it invites a second hold. Section 7.4 specifies 26 weeks of dosing and 26 weeks of observation.</w:t>
            </w:r>
          </w:p>
        </w:tc>
      </w:tr>
      <w:tr>
        <w:tc>
          <w:tcPr>
            <w:tcW w:type="dxa" w:w="1944"/>
          </w:tcPr>
          <w:p>
            <w:pPr>
              <w:spacing w:after="40" w:before="40"/>
            </w:pPr>
            <w:r/>
            <w:r>
              <w:rPr>
                <w:sz w:val="16"/>
              </w:rPr>
              <w:t>REGOPS-DRAFT-2025-04-09</w:t>
            </w:r>
          </w:p>
        </w:tc>
        <w:tc>
          <w:tcPr>
            <w:tcW w:type="dxa" w:w="3024"/>
          </w:tcPr>
          <w:p>
            <w:pPr>
              <w:spacing w:after="40" w:before="40"/>
            </w:pPr>
            <w:r/>
            <w:r>
              <w:rPr>
                <w:sz w:val="16"/>
              </w:rPr>
              <w:t>Species reversed: "A-703-01 (dog) and A-703-02 (rat)"</w:t>
            </w:r>
          </w:p>
        </w:tc>
        <w:tc>
          <w:tcPr>
            <w:tcW w:type="dxa" w:w="5112"/>
          </w:tcPr>
          <w:p>
            <w:pPr>
              <w:spacing w:after="40" w:before="40"/>
            </w:pPr>
            <w:r/>
            <w:r>
              <w:rPr>
                <w:sz w:val="16"/>
              </w:rPr>
              <w:t>Factually wrong (Section 3.4, row 8). Must be corrected before any circulation.</w:t>
            </w:r>
          </w:p>
        </w:tc>
      </w:tr>
      <w:tr>
        <w:tc>
          <w:tcPr>
            <w:tcW w:type="dxa" w:w="1944"/>
          </w:tcPr>
          <w:p>
            <w:pPr>
              <w:spacing w:after="40" w:before="40"/>
            </w:pPr>
            <w:r/>
            <w:r>
              <w:rPr>
                <w:sz w:val="16"/>
              </w:rPr>
              <w:t>REGOPS-DRAFT-2025-04-09</w:t>
            </w:r>
          </w:p>
        </w:tc>
        <w:tc>
          <w:tcPr>
            <w:tcW w:type="dxa" w:w="3024"/>
          </w:tcPr>
          <w:p>
            <w:pPr>
              <w:spacing w:after="40" w:before="40"/>
            </w:pPr>
            <w:r/>
            <w:r>
              <w:rPr>
                <w:sz w:val="16"/>
              </w:rPr>
              <w:t>Asserts that site-initiation activities may resume and dosing may commence 30 days after submission unless the Agency objects</w:t>
            </w:r>
          </w:p>
        </w:tc>
        <w:tc>
          <w:tcPr>
            <w:tcW w:type="dxa" w:w="5112"/>
          </w:tcPr>
          <w:p>
            <w:pPr>
              <w:spacing w:after="40" w:before="40"/>
            </w:pPr>
            <w:r/>
            <w:r>
              <w:rPr>
                <w:sz w:val="16"/>
              </w:rPr>
              <w:t>Must be removed. A protocol on partial clinical hold may not be initiated until FDA notifies the sponsor that it may proceed (21 CFR 312.42(e)). The 30-day default does not apply. This sentence, if submitted, is a compliance statement we cannot stand behind, and the parallel site-activation and pre-screening approach in REGOPS-MEMO-2025-04-02 carries the same exposure. Nonclinical flags it and defers to Regulatory Affairs and Quality for the corrective action.</w:t>
            </w:r>
          </w:p>
        </w:tc>
      </w:tr>
      <w:tr>
        <w:tc>
          <w:tcPr>
            <w:tcW w:type="dxa" w:w="1944"/>
          </w:tcPr>
          <w:p>
            <w:pPr>
              <w:spacing w:after="40" w:before="40"/>
            </w:pPr>
            <w:r/>
            <w:r>
              <w:rPr>
                <w:sz w:val="16"/>
              </w:rPr>
              <w:t>REGOPS-DRAFT-2025-04-09</w:t>
            </w:r>
          </w:p>
        </w:tc>
        <w:tc>
          <w:tcPr>
            <w:tcW w:type="dxa" w:w="3024"/>
          </w:tcPr>
          <w:p>
            <w:pPr>
              <w:spacing w:after="40" w:before="40"/>
            </w:pPr>
            <w:r/>
            <w:r>
              <w:rPr>
                <w:sz w:val="16"/>
              </w:rPr>
              <w:t>Cites Reference ID 5570291</w:t>
            </w:r>
          </w:p>
        </w:tc>
        <w:tc>
          <w:tcPr>
            <w:tcW w:type="dxa" w:w="5112"/>
          </w:tcPr>
          <w:p>
            <w:pPr>
              <w:spacing w:after="40" w:before="40"/>
            </w:pPr>
            <w:r/>
            <w:r>
              <w:rPr>
                <w:sz w:val="16"/>
              </w:rPr>
              <w:t>The letter of record is Reference ID 5570921. Correct the citation.</w:t>
            </w:r>
          </w:p>
        </w:tc>
      </w:tr>
      <w:tr>
        <w:tc>
          <w:tcPr>
            <w:tcW w:type="dxa" w:w="1944"/>
          </w:tcPr>
          <w:p>
            <w:pPr>
              <w:spacing w:after="40" w:before="40"/>
            </w:pPr>
            <w:r/>
            <w:r>
              <w:rPr>
                <w:sz w:val="16"/>
              </w:rPr>
              <w:t>REGOPS-DRAFT-2025-04-09</w:t>
            </w:r>
          </w:p>
        </w:tc>
        <w:tc>
          <w:tcPr>
            <w:tcW w:type="dxa" w:w="3024"/>
          </w:tcPr>
          <w:p>
            <w:pPr>
              <w:spacing w:after="40" w:before="40"/>
            </w:pPr>
            <w:r/>
            <w:r>
              <w:rPr>
                <w:sz w:val="16"/>
              </w:rPr>
              <w:t>Characterizes A-703-01 and A-703-02 as the pivotal safety basis for the presymptomatic population</w:t>
            </w:r>
          </w:p>
        </w:tc>
        <w:tc>
          <w:tcPr>
            <w:tcW w:type="dxa" w:w="5112"/>
          </w:tcPr>
          <w:p>
            <w:pPr>
              <w:spacing w:after="40" w:before="40"/>
            </w:pPr>
            <w:r/>
            <w:r>
              <w:rPr>
                <w:sz w:val="16"/>
              </w:rPr>
              <w:t>FDA has already found that basis inadequate for this population. Re-asserting it as pivotal reads as non-responsive.</w:t>
            </w:r>
          </w:p>
        </w:tc>
      </w:tr>
      <w:tr>
        <w:tc>
          <w:tcPr>
            <w:tcW w:type="dxa" w:w="1944"/>
          </w:tcPr>
          <w:p>
            <w:pPr>
              <w:spacing w:after="40" w:before="40"/>
            </w:pPr>
            <w:r/>
            <w:r>
              <w:rPr>
                <w:sz w:val="16"/>
              </w:rPr>
              <w:t>REGOPS-MEMO-2025-04-02</w:t>
            </w:r>
          </w:p>
        </w:tc>
        <w:tc>
          <w:tcPr>
            <w:tcW w:type="dxa" w:w="3024"/>
          </w:tcPr>
          <w:p>
            <w:pPr>
              <w:spacing w:after="40" w:before="40"/>
            </w:pPr>
            <w:r/>
            <w:r>
              <w:rPr>
                <w:sz w:val="16"/>
              </w:rPr>
              <w:t>Rebuttal-first strategy: humanized-mouse data "substantively address" the on-target concern; cynomolgus as fallback</w:t>
            </w:r>
          </w:p>
        </w:tc>
        <w:tc>
          <w:tcPr>
            <w:tcW w:type="dxa" w:w="5112"/>
          </w:tcPr>
          <w:p>
            <w:pPr>
              <w:spacing w:after="40" w:before="40"/>
            </w:pPr>
            <w:r/>
            <w:r>
              <w:rPr>
                <w:sz w:val="16"/>
              </w:rPr>
              <w:t>Not supportable on the evidence in Section 5. Recommend the inverse: concede the species point in one sentence, commit to the cynomolgus study as specified, and reserve the humanized-mouse data as supporting evidence of target engagement — which is what it is.</w:t>
            </w:r>
          </w:p>
        </w:tc>
      </w:tr>
      <w:tr>
        <w:tc>
          <w:tcPr>
            <w:tcW w:type="dxa" w:w="1944"/>
          </w:tcPr>
          <w:p>
            <w:pPr>
              <w:spacing w:after="40" w:before="40"/>
            </w:pPr>
            <w:r/>
            <w:r>
              <w:rPr>
                <w:sz w:val="16"/>
              </w:rPr>
              <w:t>BA-MEMO-2025-03-19 (PrP ELISA readiness)</w:t>
            </w:r>
          </w:p>
        </w:tc>
        <w:tc>
          <w:tcPr>
            <w:tcW w:type="dxa" w:w="3024"/>
          </w:tcPr>
          <w:p>
            <w:pPr>
              <w:spacing w:after="40" w:before="40"/>
            </w:pPr>
            <w:r/>
            <w:r>
              <w:rPr>
                <w:sz w:val="16"/>
              </w:rPr>
              <w:t>Murine research-grade QC pools as bridging calibrators for human CSF; no validation before first-patient samples; total-protein normalization for traumatic lumbar punctures; "~9% within-individual CV"</w:t>
            </w:r>
          </w:p>
        </w:tc>
        <w:tc>
          <w:tcPr>
            <w:tcW w:type="dxa" w:w="5112"/>
          </w:tcPr>
          <w:p>
            <w:pPr>
              <w:spacing w:after="40" w:before="40"/>
            </w:pPr>
            <w:r/>
            <w:r>
              <w:rPr>
                <w:sz w:val="16"/>
              </w:rPr>
              <w:t>Out of scope for the hold response, but must not propagate into the cynomolgus study. The observed QC precision in our own data is 15–18% CV, not 9%, with upward bias at low residual (Section 5). The cynomolgus PD assay requires cynomolgus-matrix qualification with cynomolgus QC pools (Section 7.7). Nonclinical will not accept murine research-grade calibrators for a pivotal PD endpoint.</w:t>
            </w:r>
          </w:p>
        </w:tc>
      </w:tr>
    </w:tbl>
    <w:p/>
    <w:p>
      <w:pPr>
        <w:pStyle w:val="Heading2"/>
      </w:pPr>
      <w:r>
        <w:t>6.3 Submission architecture</w:t>
      </w:r>
    </w:p>
    <w:p>
      <w:pPr>
        <w:pStyle w:val="ListBullet"/>
      </w:pPr>
      <w:r>
        <w:t>The complete response addresses the hold deficiency only: species relevance, on-target assessment, neurobehavioral assessment, and the cynomolgus study specification with its schedule.</w:t>
      </w:r>
    </w:p>
    <w:p>
      <w:pPr>
        <w:pStyle w:val="ListBullet"/>
      </w:pPr>
      <w:r>
        <w:t>Non-hold items — including the document corrections in Section 3.4 rows 2–11 — go in a separate amendment, as the letter directs. The neurobehavioral-attribution correction (row 1) should travel with the hold response because the response contradicts a statement currently in the dossier; leaving the two inconsistent is worse than correcting it.</w:t>
      </w:r>
    </w:p>
    <w:p>
      <w:pPr>
        <w:pStyle w:val="ListBullet"/>
      </w:pPr>
      <w:r>
        <w:t>The symptomatic protocol is not on hold and proceeds. Nothing in this audit changes its status. Nonclinical notes that the margins supporting it are the same non-hybridization margins audited here, and that its risk–benefit context differs materially — which is the distinction FDA itself drew.</w:t>
      </w:r>
    </w:p>
    <w:p>
      <w:pPr>
        <w:pStyle w:val="Heading1"/>
      </w:pPr>
      <w:r>
        <w:t>7. Hold-lifting study specification: GLP intrathecal repeat-dose toxicity study in cynomolgus monkey</w:t>
      </w:r>
    </w:p>
    <w:p>
      <w:r>
        <w:rPr>
          <w:b w:val="0"/>
          <w:i w:val="0"/>
        </w:rPr>
        <w:t>Written as a specification. Fields below are intended to be lifted directly into a protocol. Every dose level and interval is justified by arithmetic from the dose-verification and exposure records on the desk, cited inline.</w:t>
      </w:r>
    </w:p>
    <w:p>
      <w:pPr>
        <w:pStyle w:val="Heading2"/>
      </w:pPr>
      <w:r>
        <w:t>7.1 Species, strain and homology basis</w:t>
      </w:r>
    </w:p>
    <w:tbl>
      <w:tblPr>
        <w:tblStyle w:val="TableGrid"/>
        <w:tblW w:type="auto" w:w="0"/>
        <w:jc w:val="center"/>
        <w:tblLook w:firstColumn="1" w:firstRow="1" w:lastColumn="0" w:lastRow="0" w:noHBand="0" w:noVBand="1" w:val="04A0"/>
      </w:tblPr>
      <w:tblGrid>
        <w:gridCol w:w="3264"/>
        <w:gridCol w:w="3264"/>
        <w:gridCol w:w="3264"/>
      </w:tblGrid>
      <w:tr>
        <w:tc>
          <w:tcPr>
            <w:tcW w:type="dxa" w:w="1872"/>
          </w:tcPr>
          <w:p>
            <w:pPr>
              <w:spacing w:after="40" w:before="40"/>
            </w:pPr>
            <w:r/>
            <w:r>
              <w:rPr>
                <w:b/>
                <w:sz w:val="17"/>
              </w:rPr>
              <w:t>Field</w:t>
            </w:r>
          </w:p>
        </w:tc>
        <w:tc>
          <w:tcPr>
            <w:tcW w:type="dxa" w:w="4320"/>
          </w:tcPr>
          <w:p>
            <w:pPr>
              <w:spacing w:after="40" w:before="40"/>
            </w:pPr>
            <w:r/>
            <w:r>
              <w:rPr>
                <w:b/>
                <w:sz w:val="17"/>
              </w:rPr>
              <w:t>Specification</w:t>
            </w:r>
          </w:p>
        </w:tc>
        <w:tc>
          <w:tcPr>
            <w:tcW w:type="dxa" w:w="3888"/>
          </w:tcPr>
          <w:p>
            <w:pPr>
              <w:spacing w:after="40" w:before="40"/>
            </w:pPr>
            <w:r/>
            <w:r>
              <w:rPr>
                <w:b/>
                <w:sz w:val="17"/>
              </w:rPr>
              <w:t>Basis</w:t>
            </w:r>
          </w:p>
        </w:tc>
      </w:tr>
      <w:tr>
        <w:tc>
          <w:tcPr>
            <w:tcW w:type="dxa" w:w="1872"/>
          </w:tcPr>
          <w:p>
            <w:pPr>
              <w:spacing w:after="40" w:before="40"/>
            </w:pPr>
            <w:r/>
            <w:r>
              <w:rPr>
                <w:sz w:val="17"/>
              </w:rPr>
              <w:t>Species</w:t>
            </w:r>
          </w:p>
        </w:tc>
        <w:tc>
          <w:tcPr>
            <w:tcW w:type="dxa" w:w="4320"/>
          </w:tcPr>
          <w:p>
            <w:pPr>
              <w:spacing w:after="40" w:before="40"/>
            </w:pPr>
            <w:r/>
            <w:r>
              <w:rPr>
                <w:sz w:val="17"/>
              </w:rPr>
              <w:t>Macaca fascicularis (cynomolgus monkey), purpose-bred, naive</w:t>
            </w:r>
          </w:p>
        </w:tc>
        <w:tc>
          <w:tcPr>
            <w:tcW w:type="dxa" w:w="3888"/>
          </w:tcPr>
          <w:p>
            <w:pPr>
              <w:spacing w:after="40" w:before="40"/>
            </w:pPr>
            <w:r/>
            <w:r>
              <w:rPr>
                <w:sz w:val="17"/>
              </w:rPr>
              <w:t>Named in the hold letter; perfect match at bases 2–17 of the 2439 antisense strand (Type B and Type D briefing packages, Figure 8), confirmed by the absence of any PRNP mismatch in the human BLAST record and by the species tables in 4.2.1.2</w:t>
            </w:r>
          </w:p>
        </w:tc>
      </w:tr>
      <w:tr>
        <w:tc>
          <w:tcPr>
            <w:tcW w:type="dxa" w:w="1872"/>
          </w:tcPr>
          <w:p>
            <w:pPr>
              <w:spacing w:after="40" w:before="40"/>
            </w:pPr>
            <w:r/>
            <w:r>
              <w:rPr>
                <w:sz w:val="17"/>
              </w:rPr>
              <w:t>Age / weight</w:t>
            </w:r>
          </w:p>
        </w:tc>
        <w:tc>
          <w:tcPr>
            <w:tcW w:type="dxa" w:w="4320"/>
          </w:tcPr>
          <w:p>
            <w:pPr>
              <w:spacing w:after="40" w:before="40"/>
            </w:pPr>
            <w:r/>
            <w:r>
              <w:rPr>
                <w:sz w:val="17"/>
              </w:rPr>
              <w:t>Young adult, ≥2.5 years; body weight recorded at screening and weekly</w:t>
            </w:r>
          </w:p>
        </w:tc>
        <w:tc>
          <w:tcPr>
            <w:tcW w:type="dxa" w:w="3888"/>
          </w:tcPr>
          <w:p>
            <w:pPr>
              <w:spacing w:after="40" w:before="40"/>
            </w:pPr>
            <w:r/>
            <w:r>
              <w:rPr>
                <w:sz w:val="17"/>
              </w:rPr>
              <w:t>Standard; PrP-lowering neuropathy in the knockout literature (Bremer 2010; Skedsmo 2019) is age-dependent, so animals must not be juvenile</w:t>
            </w:r>
          </w:p>
        </w:tc>
      </w:tr>
      <w:tr>
        <w:tc>
          <w:tcPr>
            <w:tcW w:type="dxa" w:w="1872"/>
          </w:tcPr>
          <w:p>
            <w:pPr>
              <w:spacing w:after="40" w:before="40"/>
            </w:pPr>
            <w:r/>
            <w:r>
              <w:rPr>
                <w:sz w:val="17"/>
              </w:rPr>
              <w:t>Sex</w:t>
            </w:r>
          </w:p>
        </w:tc>
        <w:tc>
          <w:tcPr>
            <w:tcW w:type="dxa" w:w="4320"/>
          </w:tcPr>
          <w:p>
            <w:pPr>
              <w:spacing w:after="40" w:before="40"/>
            </w:pPr>
            <w:r/>
            <w:r>
              <w:rPr>
                <w:sz w:val="17"/>
              </w:rPr>
              <w:t>Both, equal numbers</w:t>
            </w:r>
          </w:p>
        </w:tc>
        <w:tc>
          <w:tcPr>
            <w:tcW w:type="dxa" w:w="3888"/>
          </w:tcPr>
          <w:p>
            <w:pPr>
              <w:spacing w:after="40" w:before="40"/>
            </w:pPr>
            <w:r/>
            <w:r>
              <w:rPr>
                <w:sz w:val="17"/>
              </w:rPr>
              <w:t>Type B minutes require both sexes</w:t>
            </w:r>
          </w:p>
        </w:tc>
      </w:tr>
      <w:tr>
        <w:tc>
          <w:tcPr>
            <w:tcW w:type="dxa" w:w="1872"/>
          </w:tcPr>
          <w:p>
            <w:pPr>
              <w:spacing w:after="40" w:before="40"/>
            </w:pPr>
            <w:r/>
            <w:r>
              <w:rPr>
                <w:sz w:val="17"/>
              </w:rPr>
              <w:t>Pre-study homology confirmation</w:t>
            </w:r>
          </w:p>
        </w:tc>
        <w:tc>
          <w:tcPr>
            <w:tcW w:type="dxa" w:w="4320"/>
          </w:tcPr>
          <w:p>
            <w:pPr>
              <w:spacing w:after="40" w:before="40"/>
            </w:pPr>
            <w:r/>
            <w:r>
              <w:rPr>
                <w:sz w:val="17"/>
              </w:rPr>
              <w:t>Sanger sequencing of the PRNP 3′UTR region spanning the 2439 target site in genomic DNA from every assigned animal (minimum: 8 animals plus every animal showing an atypical PD response), reported as an appendix to the study report</w:t>
            </w:r>
          </w:p>
        </w:tc>
        <w:tc>
          <w:tcPr>
            <w:tcW w:type="dxa" w:w="3888"/>
          </w:tcPr>
          <w:p>
            <w:pPr>
              <w:spacing w:after="40" w:before="40"/>
            </w:pPr>
            <w:r/>
            <w:r>
              <w:rPr>
                <w:sz w:val="17"/>
              </w:rPr>
              <w:t>Converts the homology claim from a literature citation into a study-specific record. Without it, a reviewer can ask whether the individual animals dosed were matched, and the study report will have no answer.</w:t>
            </w:r>
          </w:p>
        </w:tc>
      </w:tr>
      <w:tr>
        <w:tc>
          <w:tcPr>
            <w:tcW w:type="dxa" w:w="1872"/>
          </w:tcPr>
          <w:p>
            <w:pPr>
              <w:spacing w:after="40" w:before="40"/>
            </w:pPr>
            <w:r/>
            <w:r>
              <w:rPr>
                <w:sz w:val="17"/>
              </w:rPr>
              <w:t>Alternate species</w:t>
            </w:r>
          </w:p>
        </w:tc>
        <w:tc>
          <w:tcPr>
            <w:tcW w:type="dxa" w:w="4320"/>
          </w:tcPr>
          <w:p>
            <w:pPr>
              <w:spacing w:after="40" w:before="40"/>
            </w:pPr>
            <w:r/>
            <w:r>
              <w:rPr>
                <w:sz w:val="17"/>
              </w:rPr>
              <w:t>Rhesus (Macaca mulatta) is equally matched and is the sole acceptable substitute if cynomolgus sourcing fails. Any substitution requires prior FDA agreement, since the letter names cynomolgus.</w:t>
            </w:r>
          </w:p>
        </w:tc>
        <w:tc>
          <w:tcPr>
            <w:tcW w:type="dxa" w:w="3888"/>
          </w:tcPr>
          <w:p>
            <w:pPr>
              <w:spacing w:after="40" w:before="40"/>
            </w:pPr>
            <w:r/>
            <w:r>
              <w:rPr>
                <w:sz w:val="17"/>
              </w:rPr>
              <w:t>Same Figure 8 record</w:t>
            </w:r>
          </w:p>
        </w:tc>
      </w:tr>
      <w:tr>
        <w:tc>
          <w:tcPr>
            <w:tcW w:type="dxa" w:w="1872"/>
          </w:tcPr>
          <w:p>
            <w:pPr>
              <w:spacing w:after="40" w:before="40"/>
            </w:pPr>
            <w:r/>
            <w:r>
              <w:rPr>
                <w:sz w:val="17"/>
              </w:rPr>
              <w:t>Excluded</w:t>
            </w:r>
          </w:p>
        </w:tc>
        <w:tc>
          <w:tcPr>
            <w:tcW w:type="dxa" w:w="4320"/>
          </w:tcPr>
          <w:p>
            <w:pPr>
              <w:spacing w:after="40" w:before="40"/>
            </w:pPr>
            <w:r/>
            <w:r>
              <w:rPr>
                <w:sz w:val="17"/>
              </w:rPr>
              <w:t>Dog, rat, minipig, sheep, New World primates</w:t>
            </w:r>
          </w:p>
        </w:tc>
        <w:tc>
          <w:tcPr>
            <w:tcW w:type="dxa" w:w="3888"/>
          </w:tcPr>
          <w:p>
            <w:pPr>
              <w:spacing w:after="40" w:before="40"/>
            </w:pPr>
            <w:r/>
            <w:r>
              <w:rPr>
                <w:sz w:val="17"/>
              </w:rPr>
              <w:t>Not matched at bases 2–17 (New World monkeys carry a mismatch at base 2)</w:t>
            </w:r>
          </w:p>
        </w:tc>
      </w:tr>
    </w:tbl>
    <w:p/>
    <w:p>
      <w:pPr>
        <w:pStyle w:val="Heading2"/>
      </w:pPr>
      <w:r>
        <w:t>7.2 Test article, formulation and route</w:t>
      </w:r>
    </w:p>
    <w:tbl>
      <w:tblPr>
        <w:tblStyle w:val="TableGrid"/>
        <w:tblW w:type="auto" w:w="0"/>
        <w:jc w:val="center"/>
        <w:tblLook w:firstColumn="1" w:firstRow="1" w:lastColumn="0" w:lastRow="0" w:noHBand="0" w:noVBand="1" w:val="04A0"/>
      </w:tblPr>
      <w:tblGrid>
        <w:gridCol w:w="4896"/>
        <w:gridCol w:w="4896"/>
      </w:tblGrid>
      <w:tr>
        <w:tc>
          <w:tcPr>
            <w:tcW w:type="dxa" w:w="1872"/>
          </w:tcPr>
          <w:p>
            <w:pPr>
              <w:spacing w:after="40" w:before="40"/>
            </w:pPr>
            <w:r/>
            <w:r>
              <w:rPr>
                <w:b/>
                <w:sz w:val="17"/>
              </w:rPr>
              <w:t>Field</w:t>
            </w:r>
          </w:p>
        </w:tc>
        <w:tc>
          <w:tcPr>
            <w:tcW w:type="dxa" w:w="8208"/>
          </w:tcPr>
          <w:p>
            <w:pPr>
              <w:spacing w:after="40" w:before="40"/>
            </w:pPr>
            <w:r/>
            <w:r>
              <w:rPr>
                <w:b/>
                <w:sz w:val="17"/>
              </w:rPr>
              <w:t>Specification</w:t>
            </w:r>
          </w:p>
        </w:tc>
      </w:tr>
      <w:tr>
        <w:tc>
          <w:tcPr>
            <w:tcW w:type="dxa" w:w="1872"/>
          </w:tcPr>
          <w:p>
            <w:pPr>
              <w:spacing w:after="40" w:before="40"/>
            </w:pPr>
            <w:r/>
            <w:r>
              <w:rPr>
                <w:sz w:val="17"/>
              </w:rPr>
              <w:t>Test article</w:t>
            </w:r>
          </w:p>
        </w:tc>
        <w:tc>
          <w:tcPr>
            <w:tcW w:type="dxa" w:w="8208"/>
          </w:tcPr>
          <w:p>
            <w:pPr>
              <w:spacing w:after="40" w:before="40"/>
            </w:pPr>
            <w:r/>
            <w:r>
              <w:rPr>
                <w:sz w:val="17"/>
              </w:rPr>
              <w:t>2439-exNA drug substance formulated to the concentrations in Section 7.3; identity and purity per 3.2.S; GLP test-article characterization required (closing the A-703-01 exception)</w:t>
            </w:r>
          </w:p>
        </w:tc>
      </w:tr>
      <w:tr>
        <w:tc>
          <w:tcPr>
            <w:tcW w:type="dxa" w:w="1872"/>
          </w:tcPr>
          <w:p>
            <w:pPr>
              <w:spacing w:after="40" w:before="40"/>
            </w:pPr>
            <w:r/>
            <w:r>
              <w:rPr>
                <w:sz w:val="17"/>
              </w:rPr>
              <w:t>Vehicle</w:t>
            </w:r>
          </w:p>
        </w:tc>
        <w:tc>
          <w:tcPr>
            <w:tcW w:type="dxa" w:w="8208"/>
          </w:tcPr>
          <w:p>
            <w:pPr>
              <w:spacing w:after="40" w:before="40"/>
            </w:pPr>
            <w:r/>
            <w:r>
              <w:rPr>
                <w:sz w:val="17"/>
              </w:rPr>
              <w:t>Artificial CSF (aCSF) as used clinically, with Mg²⁺ at a 25:1 molar ratio to oligonucleotide; osmolality and pH measured and reported for every formulation</w:t>
            </w:r>
          </w:p>
        </w:tc>
      </w:tr>
      <w:tr>
        <w:tc>
          <w:tcPr>
            <w:tcW w:type="dxa" w:w="1872"/>
          </w:tcPr>
          <w:p>
            <w:pPr>
              <w:spacing w:after="40" w:before="40"/>
            </w:pPr>
            <w:r/>
            <w:r>
              <w:rPr>
                <w:sz w:val="17"/>
              </w:rPr>
              <w:t>Route</w:t>
            </w:r>
          </w:p>
        </w:tc>
        <w:tc>
          <w:tcPr>
            <w:tcW w:type="dxa" w:w="8208"/>
          </w:tcPr>
          <w:p>
            <w:pPr>
              <w:spacing w:after="40" w:before="40"/>
            </w:pPr>
            <w:r/>
            <w:r>
              <w:rPr>
                <w:sz w:val="17"/>
              </w:rPr>
              <w:t>Lumbar intrathecal bolus injection under anesthesia, atraumatic spinal needle, delivered over ≥1 minute; no CSF removal-and-replacement, so that the procedure matches the clinical bolus</w:t>
            </w:r>
          </w:p>
        </w:tc>
      </w:tr>
      <w:tr>
        <w:tc>
          <w:tcPr>
            <w:tcW w:type="dxa" w:w="1872"/>
          </w:tcPr>
          <w:p>
            <w:pPr>
              <w:spacing w:after="40" w:before="40"/>
            </w:pPr>
            <w:r/>
            <w:r>
              <w:rPr>
                <w:sz w:val="17"/>
              </w:rPr>
              <w:t>Dose volume</w:t>
            </w:r>
          </w:p>
        </w:tc>
        <w:tc>
          <w:tcPr>
            <w:tcW w:type="dxa" w:w="8208"/>
          </w:tcPr>
          <w:p>
            <w:pPr>
              <w:spacing w:after="40" w:before="40"/>
            </w:pPr>
            <w:r/>
            <w:r>
              <w:rPr>
                <w:sz w:val="17"/>
              </w:rPr>
              <w:t>1.0 mL per animal per occasion, all groups including control. Rule for the protocol author: if the testing facility’s validated maximum intrathecal bolus volume for cynomolgus differs from 1.0 mL, hold the formulation concentrations of Section 7.3 constant and recompute the delivered mass; do not hold the mass constant and dilute, because the injection-site concentration is the margin basis.</w:t>
            </w:r>
          </w:p>
        </w:tc>
      </w:tr>
      <w:tr>
        <w:tc>
          <w:tcPr>
            <w:tcW w:type="dxa" w:w="1872"/>
          </w:tcPr>
          <w:p>
            <w:pPr>
              <w:spacing w:after="40" w:before="40"/>
            </w:pPr>
            <w:r/>
            <w:r>
              <w:rPr>
                <w:sz w:val="17"/>
              </w:rPr>
              <w:t>Pre-dose CSF collection</w:t>
            </w:r>
          </w:p>
        </w:tc>
        <w:tc>
          <w:tcPr>
            <w:tcW w:type="dxa" w:w="8208"/>
          </w:tcPr>
          <w:p>
            <w:pPr>
              <w:spacing w:after="40" w:before="40"/>
            </w:pPr>
            <w:r/>
            <w:r>
              <w:rPr>
                <w:sz w:val="17"/>
              </w:rPr>
              <w:t>≤1.0 mL at each pharmacodynamic sampling occasion, collected before dosing on dosing days</w:t>
            </w:r>
          </w:p>
        </w:tc>
      </w:tr>
      <w:tr>
        <w:tc>
          <w:tcPr>
            <w:tcW w:type="dxa" w:w="1872"/>
          </w:tcPr>
          <w:p>
            <w:pPr>
              <w:spacing w:after="40" w:before="40"/>
            </w:pPr>
            <w:r/>
            <w:r>
              <w:rPr>
                <w:sz w:val="17"/>
              </w:rPr>
              <w:t>Formulation analysis</w:t>
            </w:r>
          </w:p>
        </w:tc>
        <w:tc>
          <w:tcPr>
            <w:tcW w:type="dxa" w:w="8208"/>
          </w:tcPr>
          <w:p>
            <w:pPr>
              <w:spacing w:after="40" w:before="40"/>
            </w:pPr>
            <w:r/>
            <w:r>
              <w:rPr>
                <w:sz w:val="17"/>
              </w:rPr>
              <w:t>Concentration, homogeneity, and both in-use and bulk stability, all under GLP, with a ±10% acceptance criterion against nominal, analyzed and released before dosing, and a documented re-formulation rule if any level falls outside ±10%. Control article homogeneity and stability tested. This closes the A-703-01 findings directly (rat formulations at 116.4–122.7% of nominal) and is the single most inspection-relevant improvement in the study.</w:t>
            </w:r>
          </w:p>
        </w:tc>
      </w:tr>
    </w:tbl>
    <w:p/>
    <w:p>
      <w:pPr>
        <w:pStyle w:val="Heading2"/>
      </w:pPr>
      <w:r>
        <w:t>7.3 Dose levels, with the arithmetic</w:t>
      </w:r>
    </w:p>
    <w:p>
      <w:r>
        <w:rPr>
          <w:b w:val="0"/>
          <w:i w:val="0"/>
        </w:rPr>
        <w:t>Dose levels are chosen so that the study re-earns, in a pharmacologically responsive species, the same injection-site concentration margins the dossier already carries — and so that two of the three concentrations are ones our own GLP dose-verification record has already demonstrated can be formulated within ±10%. Human injection-site concentrations are 2.5 mg/mL at 50 mg and 10.0 mg/mL at 200 mg (all clinical doses diluted to a fixed 20 mL; clinical protocol dose-preparation table).</w:t>
      </w:r>
    </w:p>
    <w:tbl>
      <w:tblPr>
        <w:tblStyle w:val="TableGrid"/>
        <w:tblW w:type="auto" w:w="0"/>
        <w:jc w:val="center"/>
        <w:tblLook w:firstColumn="1" w:firstRow="1" w:lastColumn="0" w:lastRow="0" w:noHBand="0" w:noVBand="1" w:val="04A0"/>
      </w:tblPr>
      <w:tblGrid>
        <w:gridCol w:w="1632"/>
        <w:gridCol w:w="1632"/>
        <w:gridCol w:w="1632"/>
        <w:gridCol w:w="1632"/>
        <w:gridCol w:w="1632"/>
        <w:gridCol w:w="1632"/>
      </w:tblGrid>
      <w:tr>
        <w:tc>
          <w:tcPr>
            <w:tcW w:type="dxa" w:w="1224"/>
          </w:tcPr>
          <w:p>
            <w:pPr>
              <w:spacing w:after="40" w:before="40"/>
            </w:pPr>
            <w:r/>
            <w:r>
              <w:rPr>
                <w:b/>
                <w:sz w:val="17"/>
              </w:rPr>
              <w:t>Group</w:t>
            </w:r>
          </w:p>
        </w:tc>
        <w:tc>
          <w:tcPr>
            <w:tcW w:type="dxa" w:w="1656"/>
          </w:tcPr>
          <w:p>
            <w:pPr>
              <w:spacing w:after="40" w:before="40"/>
            </w:pPr>
            <w:r/>
            <w:r>
              <w:rPr>
                <w:b/>
                <w:sz w:val="17"/>
              </w:rPr>
              <w:t>Formulation concentration (mg/mL)</w:t>
            </w:r>
          </w:p>
        </w:tc>
        <w:tc>
          <w:tcPr>
            <w:tcW w:type="dxa" w:w="1224"/>
          </w:tcPr>
          <w:p>
            <w:pPr>
              <w:spacing w:after="40" w:before="40"/>
            </w:pPr>
            <w:r/>
            <w:r>
              <w:rPr>
                <w:b/>
                <w:sz w:val="17"/>
              </w:rPr>
              <w:t>Dose at 1.0 mL (mg)</w:t>
            </w:r>
          </w:p>
        </w:tc>
        <w:tc>
          <w:tcPr>
            <w:tcW w:type="dxa" w:w="1656"/>
          </w:tcPr>
          <w:p>
            <w:pPr>
              <w:spacing w:after="40" w:before="40"/>
            </w:pPr>
            <w:r/>
            <w:r>
              <w:rPr>
                <w:b/>
                <w:sz w:val="17"/>
              </w:rPr>
              <w:t>Margin over human 200 mg (10.0 mg/mL)</w:t>
            </w:r>
          </w:p>
        </w:tc>
        <w:tc>
          <w:tcPr>
            <w:tcW w:type="dxa" w:w="1584"/>
          </w:tcPr>
          <w:p>
            <w:pPr>
              <w:spacing w:after="40" w:before="40"/>
            </w:pPr>
            <w:r/>
            <w:r>
              <w:rPr>
                <w:b/>
                <w:sz w:val="17"/>
              </w:rPr>
              <w:t>Margin over human 50 mg (2.5 mg/mL)</w:t>
            </w:r>
          </w:p>
        </w:tc>
        <w:tc>
          <w:tcPr>
            <w:tcW w:type="dxa" w:w="2736"/>
          </w:tcPr>
          <w:p>
            <w:pPr>
              <w:spacing w:after="40" w:before="40"/>
            </w:pPr>
            <w:r/>
            <w:r>
              <w:rPr>
                <w:b/>
                <w:sz w:val="17"/>
              </w:rPr>
              <w:t>Formulation precedent on the desk</w:t>
            </w:r>
          </w:p>
        </w:tc>
      </w:tr>
      <w:tr>
        <w:tc>
          <w:tcPr>
            <w:tcW w:type="dxa" w:w="1224"/>
          </w:tcPr>
          <w:p>
            <w:pPr>
              <w:spacing w:after="40" w:before="40"/>
            </w:pPr>
            <w:r/>
            <w:r>
              <w:rPr>
                <w:sz w:val="17"/>
              </w:rPr>
              <w:t>1 — Control</w:t>
            </w:r>
          </w:p>
        </w:tc>
        <w:tc>
          <w:tcPr>
            <w:tcW w:type="dxa" w:w="1656"/>
          </w:tcPr>
          <w:p>
            <w:pPr>
              <w:spacing w:after="40" w:before="40"/>
            </w:pPr>
            <w:r/>
            <w:r>
              <w:rPr>
                <w:sz w:val="17"/>
              </w:rPr>
              <w:t>0 (vehicle)</w:t>
            </w:r>
          </w:p>
        </w:tc>
        <w:tc>
          <w:tcPr>
            <w:tcW w:type="dxa" w:w="1224"/>
          </w:tcPr>
          <w:p>
            <w:pPr>
              <w:spacing w:after="40" w:before="40"/>
            </w:pPr>
            <w:r/>
            <w:r>
              <w:rPr>
                <w:sz w:val="17"/>
              </w:rPr>
              <w:t>0</w:t>
            </w:r>
          </w:p>
        </w:tc>
        <w:tc>
          <w:tcPr>
            <w:tcW w:type="dxa" w:w="1656"/>
          </w:tcPr>
          <w:p>
            <w:pPr>
              <w:spacing w:after="40" w:before="40"/>
            </w:pPr>
            <w:r/>
            <w:r>
              <w:rPr>
                <w:sz w:val="17"/>
              </w:rPr>
              <w:t>—</w:t>
            </w:r>
          </w:p>
        </w:tc>
        <w:tc>
          <w:tcPr>
            <w:tcW w:type="dxa" w:w="1584"/>
          </w:tcPr>
          <w:p>
            <w:pPr>
              <w:spacing w:after="40" w:before="40"/>
            </w:pPr>
            <w:r/>
            <w:r>
              <w:rPr>
                <w:sz w:val="17"/>
              </w:rPr>
              <w:t>—</w:t>
            </w:r>
          </w:p>
        </w:tc>
        <w:tc>
          <w:tcPr>
            <w:tcW w:type="dxa" w:w="2736"/>
          </w:tcPr>
          <w:p>
            <w:pPr>
              <w:spacing w:after="40" w:before="40"/>
            </w:pPr>
            <w:r/>
            <w:r>
              <w:rPr>
                <w:sz w:val="17"/>
              </w:rPr>
              <w:t>Vehicle as used in A-703-02</w:t>
            </w:r>
          </w:p>
        </w:tc>
      </w:tr>
      <w:tr>
        <w:tc>
          <w:tcPr>
            <w:tcW w:type="dxa" w:w="1224"/>
          </w:tcPr>
          <w:p>
            <w:pPr>
              <w:spacing w:after="40" w:before="40"/>
            </w:pPr>
            <w:r/>
            <w:r>
              <w:rPr>
                <w:sz w:val="17"/>
              </w:rPr>
              <w:t>2 — Low</w:t>
            </w:r>
          </w:p>
        </w:tc>
        <w:tc>
          <w:tcPr>
            <w:tcW w:type="dxa" w:w="1656"/>
          </w:tcPr>
          <w:p>
            <w:pPr>
              <w:spacing w:after="40" w:before="40"/>
            </w:pPr>
            <w:r/>
            <w:r>
              <w:rPr>
                <w:sz w:val="17"/>
              </w:rPr>
              <w:t>20.0</w:t>
            </w:r>
          </w:p>
        </w:tc>
        <w:tc>
          <w:tcPr>
            <w:tcW w:type="dxa" w:w="1224"/>
          </w:tcPr>
          <w:p>
            <w:pPr>
              <w:spacing w:after="40" w:before="40"/>
            </w:pPr>
            <w:r/>
            <w:r>
              <w:rPr>
                <w:sz w:val="17"/>
              </w:rPr>
              <w:t>20</w:t>
            </w:r>
          </w:p>
        </w:tc>
        <w:tc>
          <w:tcPr>
            <w:tcW w:type="dxa" w:w="1656"/>
          </w:tcPr>
          <w:p>
            <w:pPr>
              <w:spacing w:after="40" w:before="40"/>
            </w:pPr>
            <w:r/>
            <w:r>
              <w:rPr>
                <w:sz w:val="17"/>
              </w:rPr>
              <w:t>2.0×</w:t>
            </w:r>
          </w:p>
        </w:tc>
        <w:tc>
          <w:tcPr>
            <w:tcW w:type="dxa" w:w="1584"/>
          </w:tcPr>
          <w:p>
            <w:pPr>
              <w:spacing w:after="40" w:before="40"/>
            </w:pPr>
            <w:r/>
            <w:r>
              <w:rPr>
                <w:sz w:val="17"/>
              </w:rPr>
              <w:t>8.0×</w:t>
            </w:r>
          </w:p>
        </w:tc>
        <w:tc>
          <w:tcPr>
            <w:tcW w:type="dxa" w:w="2736"/>
          </w:tcPr>
          <w:p>
            <w:pPr>
              <w:spacing w:after="40" w:before="40"/>
            </w:pPr>
            <w:r/>
            <w:r>
              <w:rPr>
                <w:sz w:val="17"/>
              </w:rPr>
              <w:t>A-703-02 mid dose: 60 mg in 3 mL = 20.0 mg/mL, analyzed within ±10%, RSD &lt;5%</w:t>
            </w:r>
          </w:p>
        </w:tc>
      </w:tr>
      <w:tr>
        <w:tc>
          <w:tcPr>
            <w:tcW w:type="dxa" w:w="1224"/>
          </w:tcPr>
          <w:p>
            <w:pPr>
              <w:spacing w:after="40" w:before="40"/>
            </w:pPr>
            <w:r/>
            <w:r>
              <w:rPr>
                <w:sz w:val="17"/>
              </w:rPr>
              <w:t>3 — Mid</w:t>
            </w:r>
          </w:p>
        </w:tc>
        <w:tc>
          <w:tcPr>
            <w:tcW w:type="dxa" w:w="1656"/>
          </w:tcPr>
          <w:p>
            <w:pPr>
              <w:spacing w:after="40" w:before="40"/>
            </w:pPr>
            <w:r/>
            <w:r>
              <w:rPr>
                <w:sz w:val="17"/>
              </w:rPr>
              <w:t>66.7</w:t>
            </w:r>
          </w:p>
        </w:tc>
        <w:tc>
          <w:tcPr>
            <w:tcW w:type="dxa" w:w="1224"/>
          </w:tcPr>
          <w:p>
            <w:pPr>
              <w:spacing w:after="40" w:before="40"/>
            </w:pPr>
            <w:r/>
            <w:r>
              <w:rPr>
                <w:sz w:val="17"/>
              </w:rPr>
              <w:t>66.7</w:t>
            </w:r>
          </w:p>
        </w:tc>
        <w:tc>
          <w:tcPr>
            <w:tcW w:type="dxa" w:w="1656"/>
          </w:tcPr>
          <w:p>
            <w:pPr>
              <w:spacing w:after="40" w:before="40"/>
            </w:pPr>
            <w:r/>
            <w:r>
              <w:rPr>
                <w:sz w:val="17"/>
              </w:rPr>
              <w:t>6.7×</w:t>
            </w:r>
          </w:p>
        </w:tc>
        <w:tc>
          <w:tcPr>
            <w:tcW w:type="dxa" w:w="1584"/>
          </w:tcPr>
          <w:p>
            <w:pPr>
              <w:spacing w:after="40" w:before="40"/>
            </w:pPr>
            <w:r/>
            <w:r>
              <w:rPr>
                <w:sz w:val="17"/>
              </w:rPr>
              <w:t>26.7×</w:t>
            </w:r>
          </w:p>
        </w:tc>
        <w:tc>
          <w:tcPr>
            <w:tcW w:type="dxa" w:w="2736"/>
          </w:tcPr>
          <w:p>
            <w:pPr>
              <w:spacing w:after="40" w:before="40"/>
            </w:pPr>
            <w:r/>
            <w:r>
              <w:rPr>
                <w:sz w:val="17"/>
              </w:rPr>
              <w:t>A-703-02 high dose: 200 mg in 3 mL = 66.7 mg/mL, analyzed within ±10%; also the A-703-03 concentration</w:t>
            </w:r>
          </w:p>
        </w:tc>
      </w:tr>
      <w:tr>
        <w:tc>
          <w:tcPr>
            <w:tcW w:type="dxa" w:w="1224"/>
          </w:tcPr>
          <w:p>
            <w:pPr>
              <w:spacing w:after="40" w:before="40"/>
            </w:pPr>
            <w:r/>
            <w:r>
              <w:rPr>
                <w:sz w:val="17"/>
              </w:rPr>
              <w:t>4 — High</w:t>
            </w:r>
          </w:p>
        </w:tc>
        <w:tc>
          <w:tcPr>
            <w:tcW w:type="dxa" w:w="1656"/>
          </w:tcPr>
          <w:p>
            <w:pPr>
              <w:spacing w:after="40" w:before="40"/>
            </w:pPr>
            <w:r/>
            <w:r>
              <w:rPr>
                <w:sz w:val="17"/>
              </w:rPr>
              <w:t>100.0</w:t>
            </w:r>
          </w:p>
        </w:tc>
        <w:tc>
          <w:tcPr>
            <w:tcW w:type="dxa" w:w="1224"/>
          </w:tcPr>
          <w:p>
            <w:pPr>
              <w:spacing w:after="40" w:before="40"/>
            </w:pPr>
            <w:r/>
            <w:r>
              <w:rPr>
                <w:sz w:val="17"/>
              </w:rPr>
              <w:t>100</w:t>
            </w:r>
          </w:p>
        </w:tc>
        <w:tc>
          <w:tcPr>
            <w:tcW w:type="dxa" w:w="1656"/>
          </w:tcPr>
          <w:p>
            <w:pPr>
              <w:spacing w:after="40" w:before="40"/>
            </w:pPr>
            <w:r/>
            <w:r>
              <w:rPr>
                <w:sz w:val="17"/>
              </w:rPr>
              <w:t>10.0×</w:t>
            </w:r>
          </w:p>
        </w:tc>
        <w:tc>
          <w:tcPr>
            <w:tcW w:type="dxa" w:w="1584"/>
          </w:tcPr>
          <w:p>
            <w:pPr>
              <w:spacing w:after="40" w:before="40"/>
            </w:pPr>
            <w:r/>
            <w:r>
              <w:rPr>
                <w:sz w:val="17"/>
              </w:rPr>
              <w:t>40.0×</w:t>
            </w:r>
          </w:p>
        </w:tc>
        <w:tc>
          <w:tcPr>
            <w:tcW w:type="dxa" w:w="2736"/>
          </w:tcPr>
          <w:p>
            <w:pPr>
              <w:spacing w:after="40" w:before="40"/>
            </w:pPr>
            <w:r/>
            <w:r>
              <w:rPr>
                <w:sz w:val="17"/>
              </w:rPr>
              <w:t>A-703-01 high dose nominal 100.0 mg/mL — but analyzed at 116.40 mg/mL (116.4% of nominal). Requires pre-study formulation qualification.</w:t>
            </w:r>
          </w:p>
        </w:tc>
      </w:tr>
    </w:tbl>
    <w:p/>
    <w:p>
      <w:r>
        <w:rPr>
          <w:b w:val="0"/>
          <w:i w:val="0"/>
        </w:rPr>
        <w:t>Three consequences the protocol author should carry forward verbatim:</w:t>
      </w:r>
    </w:p>
    <w:p>
      <w:pPr>
        <w:pStyle w:val="ListBullet"/>
      </w:pPr>
      <w:r>
        <w:t>The mid and high levels reproduce 6.7× and 10.0× over the maximum clinical dose and 26.7× and 40.0× over the starting dose — numerically the same margins now in Table 2, but for the first time in a species that expresses the pharmacology. That is the sentence the response is built to earn.</w:t>
      </w:r>
    </w:p>
    <w:p>
      <w:pPr>
        <w:pStyle w:val="ListBullet"/>
      </w:pPr>
      <w:r>
        <w:t>Fallback rule, to be written into the protocol rather than decided later: if 100.0 mg/mL cannot be released within ±10% during pre-study formulation qualification, set the high level at 66.7 mg/mL (verified in A-703-02) and the mid level at 40.0 mg/mL, giving 6.7× and 4.0× over the maximum clinical dose. Do not dose an out-of-specification formulation; that is precisely the finding this study exists to avoid repeating.</w:t>
      </w:r>
    </w:p>
    <w:p>
      <w:pPr>
        <w:pStyle w:val="ListBullet"/>
      </w:pPr>
      <w:r>
        <w:t>Body-weight scaling is deliberately not used. 100 mg in a ~3 kg macaque is a far higher mg/kg dose than 200 mg in a 50–70 kg human. For intrathecal delivery the relevant scalars are injection-site concentration and CNS compartment volume, not body weight, and the dossier’s margin construct is already built on the former. State this explicitly in the protocol’s dose-justification section so it is not raised as an omission.</w:t>
      </w:r>
    </w:p>
    <w:p>
      <w:r>
        <w:rPr>
          <w:b/>
        </w:rPr>
        <w:t xml:space="preserve">Target-engagement acceptance criterion. </w:t>
      </w:r>
      <w:r>
        <w:rPr>
          <w:b w:val="0"/>
        </w:rPr>
        <w:t>The study must demonstrate that PrP was actually lowered, or a negative neurologic outcome proves nothing. Pre-specify that the high-dose group achieve regional drug concentrations at or above approximately 1,000 ng/g in deep gray structures — the concentration associated with roughly 50% PRNP mRNA lowering in the humanized-mouse exposure–response record (Section 4.1) — or, failing that, demonstrate CSF PrP lowering of ≥30% from baseline at two consecutive sampling occasions. Pre-specify the consequence of missing both: the study did not test on-target toxicity and must be extended or repeated at a higher level. The dog record shows this risk is real — median thalamic exposure at 200 mg was 193 ng/g on Day 2.</w:t>
      </w:r>
    </w:p>
    <w:p>
      <w:pPr>
        <w:pStyle w:val="Heading2"/>
      </w:pPr>
      <w:r>
        <w:t>7.4 Dosing interval and duration</w:t>
      </w:r>
    </w:p>
    <w:tbl>
      <w:tblPr>
        <w:tblStyle w:val="TableGrid"/>
        <w:tblW w:type="auto" w:w="0"/>
        <w:jc w:val="center"/>
        <w:tblLook w:firstColumn="1" w:firstRow="1" w:lastColumn="0" w:lastRow="0" w:noHBand="0" w:noVBand="1" w:val="04A0"/>
      </w:tblPr>
      <w:tblGrid>
        <w:gridCol w:w="3264"/>
        <w:gridCol w:w="3264"/>
        <w:gridCol w:w="3264"/>
      </w:tblGrid>
      <w:tr>
        <w:tc>
          <w:tcPr>
            <w:tcW w:type="dxa" w:w="1728"/>
          </w:tcPr>
          <w:p>
            <w:pPr>
              <w:spacing w:after="40" w:before="40"/>
            </w:pPr>
            <w:r/>
            <w:r>
              <w:rPr>
                <w:b/>
                <w:sz w:val="17"/>
              </w:rPr>
              <w:t>Field</w:t>
            </w:r>
          </w:p>
        </w:tc>
        <w:tc>
          <w:tcPr>
            <w:tcW w:type="dxa" w:w="3744"/>
          </w:tcPr>
          <w:p>
            <w:pPr>
              <w:spacing w:after="40" w:before="40"/>
            </w:pPr>
            <w:r/>
            <w:r>
              <w:rPr>
                <w:b/>
                <w:sz w:val="17"/>
              </w:rPr>
              <w:t>Specification</w:t>
            </w:r>
          </w:p>
        </w:tc>
        <w:tc>
          <w:tcPr>
            <w:tcW w:type="dxa" w:w="4608"/>
          </w:tcPr>
          <w:p>
            <w:pPr>
              <w:spacing w:after="40" w:before="40"/>
            </w:pPr>
            <w:r/>
            <w:r>
              <w:rPr>
                <w:b/>
                <w:sz w:val="17"/>
              </w:rPr>
              <w:t>Basis</w:t>
            </w:r>
          </w:p>
        </w:tc>
      </w:tr>
      <w:tr>
        <w:tc>
          <w:tcPr>
            <w:tcW w:type="dxa" w:w="1728"/>
          </w:tcPr>
          <w:p>
            <w:pPr>
              <w:spacing w:after="40" w:before="40"/>
            </w:pPr>
            <w:r/>
            <w:r>
              <w:rPr>
                <w:sz w:val="17"/>
              </w:rPr>
              <w:t>Dosing days</w:t>
            </w:r>
          </w:p>
        </w:tc>
        <w:tc>
          <w:tcPr>
            <w:tcW w:type="dxa" w:w="3744"/>
          </w:tcPr>
          <w:p>
            <w:pPr>
              <w:spacing w:after="40" w:before="40"/>
            </w:pPr>
            <w:r/>
            <w:r>
              <w:rPr>
                <w:sz w:val="17"/>
              </w:rPr>
              <w:t>Day 1, Day 8, Day 91, Day 182 (four occasions)</w:t>
            </w:r>
          </w:p>
        </w:tc>
        <w:tc>
          <w:tcPr>
            <w:tcW w:type="dxa" w:w="4608"/>
          </w:tcPr>
          <w:p>
            <w:pPr>
              <w:spacing w:after="40" w:before="40"/>
            </w:pPr>
            <w:r/>
            <w:r>
              <w:rPr>
                <w:sz w:val="17"/>
              </w:rPr>
              <w:t>Mirrors the regimen the sponsor has already put to FDA in 1.12.4 (loading doses on Days 0 and 7, then re-dosing at ~90-day intervals). The loading pair is supported by pharmacology: in humanized mice, 52 µg given on Days 0 and 7 gave 32% residual PrP versus 49% for a single dose, and 348 µg on Days 0/7/90 held residual PrP at 15% to Day 120 (4.2.1.1).</w:t>
            </w:r>
          </w:p>
        </w:tc>
      </w:tr>
      <w:tr>
        <w:tc>
          <w:tcPr>
            <w:tcW w:type="dxa" w:w="1728"/>
          </w:tcPr>
          <w:p>
            <w:pPr>
              <w:spacing w:after="40" w:before="40"/>
            </w:pPr>
            <w:r/>
            <w:r>
              <w:rPr>
                <w:sz w:val="17"/>
              </w:rPr>
              <w:t>Dosing duration</w:t>
            </w:r>
          </w:p>
        </w:tc>
        <w:tc>
          <w:tcPr>
            <w:tcW w:type="dxa" w:w="3744"/>
          </w:tcPr>
          <w:p>
            <w:pPr>
              <w:spacing w:after="40" w:before="40"/>
            </w:pPr>
            <w:r/>
            <w:r>
              <w:rPr>
                <w:sz w:val="17"/>
              </w:rPr>
              <w:t>26 weeks (182 days) of dosing</w:t>
            </w:r>
          </w:p>
        </w:tc>
        <w:tc>
          <w:tcPr>
            <w:tcW w:type="dxa" w:w="4608"/>
          </w:tcPr>
          <w:p>
            <w:pPr>
              <w:spacing w:after="40" w:before="40"/>
            </w:pPr>
            <w:r/>
            <w:r>
              <w:rPr>
                <w:sz w:val="17"/>
              </w:rPr>
              <w:t>Equals or exceeds the human exposure period under the held protocol and covers two full intended clinical dosing intervals, satisfying "duration similar to or greater than that proposed for humans"</w:t>
            </w:r>
          </w:p>
        </w:tc>
      </w:tr>
      <w:tr>
        <w:tc>
          <w:tcPr>
            <w:tcW w:type="dxa" w:w="1728"/>
          </w:tcPr>
          <w:p>
            <w:pPr>
              <w:spacing w:after="40" w:before="40"/>
            </w:pPr>
            <w:r/>
            <w:r>
              <w:rPr>
                <w:sz w:val="17"/>
              </w:rPr>
              <w:t>Total in-life duration</w:t>
            </w:r>
          </w:p>
        </w:tc>
        <w:tc>
          <w:tcPr>
            <w:tcW w:type="dxa" w:w="3744"/>
          </w:tcPr>
          <w:p>
            <w:pPr>
              <w:spacing w:after="40" w:before="40"/>
            </w:pPr>
            <w:r/>
            <w:r>
              <w:rPr>
                <w:sz w:val="17"/>
              </w:rPr>
              <w:t>183 days for the main and interim cohorts; 183 days for the recovery cohort (last dose Day 91, giving a 92-day treatment-free period)</w:t>
            </w:r>
          </w:p>
        </w:tc>
        <w:tc>
          <w:tcPr>
            <w:tcW w:type="dxa" w:w="4608"/>
          </w:tcPr>
          <w:p>
            <w:pPr>
              <w:spacing w:after="40" w:before="40"/>
            </w:pPr>
            <w:r/>
            <w:r>
              <w:rPr>
                <w:sz w:val="17"/>
              </w:rPr>
              <w:t>The held protocol carries 24 weeks (168 days) of post-dose monitoring with lumbar punctures at Weeks 4, 8, 12 and 24; 183 days exceeds it. The recovery period tests reversibility of any finding, which matters because PrP-lowering neuropathy in the knockout literature is chronic and slowly progressive.</w:t>
            </w:r>
          </w:p>
        </w:tc>
      </w:tr>
      <w:tr>
        <w:tc>
          <w:tcPr>
            <w:tcW w:type="dxa" w:w="1728"/>
          </w:tcPr>
          <w:p>
            <w:pPr>
              <w:spacing w:after="40" w:before="40"/>
            </w:pPr>
            <w:r/>
            <w:r>
              <w:rPr>
                <w:sz w:val="17"/>
              </w:rPr>
              <w:t>Why not a single dose</w:t>
            </w:r>
          </w:p>
        </w:tc>
        <w:tc>
          <w:tcPr>
            <w:tcW w:type="dxa" w:w="3744"/>
          </w:tcPr>
          <w:p>
            <w:pPr>
              <w:spacing w:after="40" w:before="40"/>
            </w:pPr>
            <w:r/>
            <w:r>
              <w:rPr>
                <w:sz w:val="17"/>
              </w:rPr>
              <w:t>The held protocol administers a single dose, so a single-dose monkey study could be argued to match it. It should not be run. It would neither cover the sponsor’s stated forward repeat-dose regimen nor accumulate the exposure duration under which the Bremer/Skedsmo peripheral phenotype develops, and it would require a second monkey study before any repeat-dose protocol. Run the repeat-dose study once.</w:t>
            </w:r>
          </w:p>
        </w:tc>
        <w:tc>
          <w:tcPr>
            <w:tcW w:type="dxa" w:w="4608"/>
          </w:tcPr>
          <w:p>
            <w:pPr>
              <w:spacing w:after="40" w:before="40"/>
            </w:pPr>
            <w:r/>
            <w:r>
              <w:rPr>
                <w:sz w:val="17"/>
              </w:rPr>
              <w:t>Letter; 1.12.4; Bremer 2010; Skedsmo 2019</w:t>
            </w:r>
          </w:p>
        </w:tc>
      </w:tr>
      <w:tr>
        <w:tc>
          <w:tcPr>
            <w:tcW w:type="dxa" w:w="1728"/>
          </w:tcPr>
          <w:p>
            <w:pPr>
              <w:spacing w:after="40" w:before="40"/>
            </w:pPr>
            <w:r/>
            <w:r>
              <w:rPr>
                <w:sz w:val="17"/>
              </w:rPr>
              <w:t>Do not delete safety pharmacology</w:t>
            </w:r>
          </w:p>
        </w:tc>
        <w:tc>
          <w:tcPr>
            <w:tcW w:type="dxa" w:w="3744"/>
          </w:tcPr>
          <w:p>
            <w:pPr>
              <w:spacing w:after="40" w:before="40"/>
            </w:pPr>
            <w:r/>
            <w:r>
              <w:rPr>
                <w:sz w:val="17"/>
              </w:rPr>
              <w:t>1.12.4 proposed removing safety-pharmacology endpoints from future studies "given the lack of any remarkable findings." That proposal must be withdrawn for this study.</w:t>
            </w:r>
          </w:p>
        </w:tc>
        <w:tc>
          <w:tcPr>
            <w:tcW w:type="dxa" w:w="4608"/>
          </w:tcPr>
          <w:p>
            <w:pPr>
              <w:spacing w:after="40" w:before="40"/>
            </w:pPr>
            <w:r/>
            <w:r>
              <w:rPr>
                <w:sz w:val="17"/>
              </w:rPr>
              <w:t>Core CNS, cardiovascular and respiratory assessment was required at the Type B meeting, and the hold is specifically about neurologic function. Deleting neurologic safety pharmacology from the study meant to answer a neurologic deficiency is indefensible.</w:t>
            </w:r>
          </w:p>
        </w:tc>
      </w:tr>
    </w:tbl>
    <w:p/>
    <w:p>
      <w:pPr>
        <w:pStyle w:val="Heading2"/>
      </w:pPr>
      <w:r>
        <w:t>7.5 Group configuration, animal numbers and necropsy schedule</w:t>
      </w:r>
    </w:p>
    <w:tbl>
      <w:tblPr>
        <w:tblStyle w:val="TableGrid"/>
        <w:tblW w:type="auto" w:w="0"/>
        <w:jc w:val="center"/>
        <w:tblLook w:firstColumn="1" w:firstRow="1" w:lastColumn="0" w:lastRow="0" w:noHBand="0" w:noVBand="1" w:val="04A0"/>
      </w:tblPr>
      <w:tblGrid>
        <w:gridCol w:w="1632"/>
        <w:gridCol w:w="1632"/>
        <w:gridCol w:w="1632"/>
        <w:gridCol w:w="1632"/>
        <w:gridCol w:w="1632"/>
        <w:gridCol w:w="1632"/>
      </w:tblGrid>
      <w:tr>
        <w:tc>
          <w:tcPr>
            <w:tcW w:type="dxa" w:w="1656"/>
          </w:tcPr>
          <w:p>
            <w:pPr>
              <w:spacing w:after="40" w:before="40"/>
            </w:pPr>
            <w:r/>
            <w:r>
              <w:rPr>
                <w:b/>
                <w:sz w:val="17"/>
              </w:rPr>
              <w:t>Cohort</w:t>
            </w:r>
          </w:p>
        </w:tc>
        <w:tc>
          <w:tcPr>
            <w:tcW w:type="dxa" w:w="1656"/>
          </w:tcPr>
          <w:p>
            <w:pPr>
              <w:spacing w:after="40" w:before="40"/>
            </w:pPr>
            <w:r/>
            <w:r>
              <w:rPr>
                <w:b/>
                <w:sz w:val="17"/>
              </w:rPr>
              <w:t>Animals per group</w:t>
            </w:r>
          </w:p>
        </w:tc>
        <w:tc>
          <w:tcPr>
            <w:tcW w:type="dxa" w:w="1224"/>
          </w:tcPr>
          <w:p>
            <w:pPr>
              <w:spacing w:after="40" w:before="40"/>
            </w:pPr>
            <w:r/>
            <w:r>
              <w:rPr>
                <w:b/>
                <w:sz w:val="17"/>
              </w:rPr>
              <w:t>Groups</w:t>
            </w:r>
          </w:p>
        </w:tc>
        <w:tc>
          <w:tcPr>
            <w:tcW w:type="dxa" w:w="2160"/>
          </w:tcPr>
          <w:p>
            <w:pPr>
              <w:spacing w:after="40" w:before="40"/>
            </w:pPr>
            <w:r/>
            <w:r>
              <w:rPr>
                <w:b/>
                <w:sz w:val="17"/>
              </w:rPr>
              <w:t>Dosing</w:t>
            </w:r>
          </w:p>
        </w:tc>
        <w:tc>
          <w:tcPr>
            <w:tcW w:type="dxa" w:w="2520"/>
          </w:tcPr>
          <w:p>
            <w:pPr>
              <w:spacing w:after="40" w:before="40"/>
            </w:pPr>
            <w:r/>
            <w:r>
              <w:rPr>
                <w:b/>
                <w:sz w:val="17"/>
              </w:rPr>
              <w:t>Necropsy</w:t>
            </w:r>
          </w:p>
        </w:tc>
        <w:tc>
          <w:tcPr>
            <w:tcW w:type="dxa" w:w="864"/>
          </w:tcPr>
          <w:p>
            <w:pPr>
              <w:spacing w:after="40" w:before="40"/>
            </w:pPr>
            <w:r/>
            <w:r>
              <w:rPr>
                <w:b/>
                <w:sz w:val="17"/>
              </w:rPr>
              <w:t>Total</w:t>
            </w:r>
          </w:p>
        </w:tc>
      </w:tr>
      <w:tr>
        <w:tc>
          <w:tcPr>
            <w:tcW w:type="dxa" w:w="1656"/>
          </w:tcPr>
          <w:p>
            <w:pPr>
              <w:spacing w:after="40" w:before="40"/>
            </w:pPr>
            <w:r/>
            <w:r>
              <w:rPr>
                <w:sz w:val="17"/>
              </w:rPr>
              <w:t>Main (terminal)</w:t>
            </w:r>
          </w:p>
        </w:tc>
        <w:tc>
          <w:tcPr>
            <w:tcW w:type="dxa" w:w="1656"/>
          </w:tcPr>
          <w:p>
            <w:pPr>
              <w:spacing w:after="40" w:before="40"/>
            </w:pPr>
            <w:r/>
            <w:r>
              <w:rPr>
                <w:sz w:val="17"/>
              </w:rPr>
              <w:t>4M + 4F</w:t>
            </w:r>
          </w:p>
        </w:tc>
        <w:tc>
          <w:tcPr>
            <w:tcW w:type="dxa" w:w="1224"/>
          </w:tcPr>
          <w:p>
            <w:pPr>
              <w:spacing w:after="40" w:before="40"/>
            </w:pPr>
            <w:r/>
            <w:r>
              <w:rPr>
                <w:sz w:val="17"/>
              </w:rPr>
              <w:t>1–4</w:t>
            </w:r>
          </w:p>
        </w:tc>
        <w:tc>
          <w:tcPr>
            <w:tcW w:type="dxa" w:w="2160"/>
          </w:tcPr>
          <w:p>
            <w:pPr>
              <w:spacing w:after="40" w:before="40"/>
            </w:pPr>
            <w:r/>
            <w:r>
              <w:rPr>
                <w:sz w:val="17"/>
              </w:rPr>
              <w:t>Days 1, 8, 91, 182</w:t>
            </w:r>
          </w:p>
        </w:tc>
        <w:tc>
          <w:tcPr>
            <w:tcW w:type="dxa" w:w="2520"/>
          </w:tcPr>
          <w:p>
            <w:pPr>
              <w:spacing w:after="40" w:before="40"/>
            </w:pPr>
            <w:r/>
            <w:r>
              <w:rPr>
                <w:sz w:val="17"/>
              </w:rPr>
              <w:t>Day 183 (24 h after final dose)</w:t>
            </w:r>
          </w:p>
        </w:tc>
        <w:tc>
          <w:tcPr>
            <w:tcW w:type="dxa" w:w="864"/>
          </w:tcPr>
          <w:p>
            <w:pPr>
              <w:spacing w:after="40" w:before="40"/>
            </w:pPr>
            <w:r/>
            <w:r>
              <w:rPr>
                <w:sz w:val="17"/>
              </w:rPr>
              <w:t>32</w:t>
            </w:r>
          </w:p>
        </w:tc>
      </w:tr>
      <w:tr>
        <w:tc>
          <w:tcPr>
            <w:tcW w:type="dxa" w:w="1656"/>
          </w:tcPr>
          <w:p>
            <w:pPr>
              <w:spacing w:after="40" w:before="40"/>
            </w:pPr>
            <w:r/>
            <w:r>
              <w:rPr>
                <w:sz w:val="17"/>
              </w:rPr>
              <w:t>Interim</w:t>
            </w:r>
          </w:p>
        </w:tc>
        <w:tc>
          <w:tcPr>
            <w:tcW w:type="dxa" w:w="1656"/>
          </w:tcPr>
          <w:p>
            <w:pPr>
              <w:spacing w:after="40" w:before="40"/>
            </w:pPr>
            <w:r/>
            <w:r>
              <w:rPr>
                <w:sz w:val="17"/>
              </w:rPr>
              <w:t>2M + 2F</w:t>
            </w:r>
          </w:p>
        </w:tc>
        <w:tc>
          <w:tcPr>
            <w:tcW w:type="dxa" w:w="1224"/>
          </w:tcPr>
          <w:p>
            <w:pPr>
              <w:spacing w:after="40" w:before="40"/>
            </w:pPr>
            <w:r/>
            <w:r>
              <w:rPr>
                <w:sz w:val="17"/>
              </w:rPr>
              <w:t>1–4</w:t>
            </w:r>
          </w:p>
        </w:tc>
        <w:tc>
          <w:tcPr>
            <w:tcW w:type="dxa" w:w="2160"/>
          </w:tcPr>
          <w:p>
            <w:pPr>
              <w:spacing w:after="40" w:before="40"/>
            </w:pPr>
            <w:r/>
            <w:r>
              <w:rPr>
                <w:sz w:val="17"/>
              </w:rPr>
              <w:t>Days 1, 8, 91</w:t>
            </w:r>
          </w:p>
        </w:tc>
        <w:tc>
          <w:tcPr>
            <w:tcW w:type="dxa" w:w="2520"/>
          </w:tcPr>
          <w:p>
            <w:pPr>
              <w:spacing w:after="40" w:before="40"/>
            </w:pPr>
            <w:r/>
            <w:r>
              <w:rPr>
                <w:sz w:val="17"/>
              </w:rPr>
              <w:t>Day 92 (24 h after third dose)</w:t>
            </w:r>
          </w:p>
        </w:tc>
        <w:tc>
          <w:tcPr>
            <w:tcW w:type="dxa" w:w="864"/>
          </w:tcPr>
          <w:p>
            <w:pPr>
              <w:spacing w:after="40" w:before="40"/>
            </w:pPr>
            <w:r/>
            <w:r>
              <w:rPr>
                <w:sz w:val="17"/>
              </w:rPr>
              <w:t>16</w:t>
            </w:r>
          </w:p>
        </w:tc>
      </w:tr>
      <w:tr>
        <w:tc>
          <w:tcPr>
            <w:tcW w:type="dxa" w:w="1656"/>
          </w:tcPr>
          <w:p>
            <w:pPr>
              <w:spacing w:after="40" w:before="40"/>
            </w:pPr>
            <w:r/>
            <w:r>
              <w:rPr>
                <w:sz w:val="17"/>
              </w:rPr>
              <w:t>Recovery</w:t>
            </w:r>
          </w:p>
        </w:tc>
        <w:tc>
          <w:tcPr>
            <w:tcW w:type="dxa" w:w="1656"/>
          </w:tcPr>
          <w:p>
            <w:pPr>
              <w:spacing w:after="40" w:before="40"/>
            </w:pPr>
            <w:r/>
            <w:r>
              <w:rPr>
                <w:sz w:val="17"/>
              </w:rPr>
              <w:t>2M + 2F</w:t>
            </w:r>
          </w:p>
        </w:tc>
        <w:tc>
          <w:tcPr>
            <w:tcW w:type="dxa" w:w="1224"/>
          </w:tcPr>
          <w:p>
            <w:pPr>
              <w:spacing w:after="40" w:before="40"/>
            </w:pPr>
            <w:r/>
            <w:r>
              <w:rPr>
                <w:sz w:val="17"/>
              </w:rPr>
              <w:t>1 and 4 only</w:t>
            </w:r>
          </w:p>
        </w:tc>
        <w:tc>
          <w:tcPr>
            <w:tcW w:type="dxa" w:w="2160"/>
          </w:tcPr>
          <w:p>
            <w:pPr>
              <w:spacing w:after="40" w:before="40"/>
            </w:pPr>
            <w:r/>
            <w:r>
              <w:rPr>
                <w:sz w:val="17"/>
              </w:rPr>
              <w:t>Days 1, 8, 91</w:t>
            </w:r>
          </w:p>
        </w:tc>
        <w:tc>
          <w:tcPr>
            <w:tcW w:type="dxa" w:w="2520"/>
          </w:tcPr>
          <w:p>
            <w:pPr>
              <w:spacing w:after="40" w:before="40"/>
            </w:pPr>
            <w:r/>
            <w:r>
              <w:rPr>
                <w:sz w:val="17"/>
              </w:rPr>
              <w:t>Day 183 (92-day treatment-free period)</w:t>
            </w:r>
          </w:p>
        </w:tc>
        <w:tc>
          <w:tcPr>
            <w:tcW w:type="dxa" w:w="864"/>
          </w:tcPr>
          <w:p>
            <w:pPr>
              <w:spacing w:after="40" w:before="40"/>
            </w:pPr>
            <w:r/>
            <w:r>
              <w:rPr>
                <w:sz w:val="17"/>
              </w:rPr>
              <w:t>8</w:t>
            </w:r>
          </w:p>
        </w:tc>
      </w:tr>
      <w:tr>
        <w:tc>
          <w:tcPr>
            <w:tcW w:type="dxa" w:w="1656"/>
          </w:tcPr>
          <w:p>
            <w:pPr>
              <w:spacing w:after="40" w:before="40"/>
            </w:pPr>
            <w:r/>
            <w:r>
              <w:rPr>
                <w:sz w:val="17"/>
              </w:rPr>
              <w:t>Total</w:t>
            </w:r>
          </w:p>
        </w:tc>
        <w:tc>
          <w:tcPr>
            <w:tcW w:type="dxa" w:w="1656"/>
          </w:tcPr>
          <w:p>
            <w:pPr>
              <w:spacing w:after="40" w:before="40"/>
            </w:pPr>
            <w:r/>
            <w:r>
              <w:rPr>
                <w:sz w:val="17"/>
              </w:rPr>
            </w:r>
          </w:p>
        </w:tc>
        <w:tc>
          <w:tcPr>
            <w:tcW w:type="dxa" w:w="1224"/>
          </w:tcPr>
          <w:p>
            <w:pPr>
              <w:spacing w:after="40" w:before="40"/>
            </w:pPr>
            <w:r/>
            <w:r>
              <w:rPr>
                <w:sz w:val="17"/>
              </w:rPr>
            </w:r>
          </w:p>
        </w:tc>
        <w:tc>
          <w:tcPr>
            <w:tcW w:type="dxa" w:w="2160"/>
          </w:tcPr>
          <w:p>
            <w:pPr>
              <w:spacing w:after="40" w:before="40"/>
            </w:pPr>
            <w:r/>
            <w:r>
              <w:rPr>
                <w:sz w:val="17"/>
              </w:rPr>
            </w:r>
          </w:p>
        </w:tc>
        <w:tc>
          <w:tcPr>
            <w:tcW w:type="dxa" w:w="2520"/>
          </w:tcPr>
          <w:p>
            <w:pPr>
              <w:spacing w:after="40" w:before="40"/>
            </w:pPr>
            <w:r/>
            <w:r>
              <w:rPr>
                <w:sz w:val="17"/>
              </w:rPr>
            </w:r>
          </w:p>
        </w:tc>
        <w:tc>
          <w:tcPr>
            <w:tcW w:type="dxa" w:w="864"/>
          </w:tcPr>
          <w:p>
            <w:pPr>
              <w:spacing w:after="40" w:before="40"/>
            </w:pPr>
            <w:r/>
            <w:r>
              <w:rPr>
                <w:sz w:val="17"/>
              </w:rPr>
              <w:t>56</w:t>
            </w:r>
          </w:p>
        </w:tc>
      </w:tr>
    </w:tbl>
    <w:p/>
    <w:p>
      <w:r>
        <w:rPr>
          <w:b w:val="0"/>
          <w:i w:val="0"/>
        </w:rPr>
        <w:t>Group sizes meet or exceed the Type B minimums for a non-rodent species (4/sex/group main, plus 2/sex for recovery). The interim cohort exists for a specific reason: PrP lowering is durable and cumulative, and an interim terminal pharmacodynamic and neuropathologic readout at Day 92 establishes the depth of lowering achieved before the final dose, so that a Day 183 finding can be placed on an exposure–duration axis rather than reported as a single endpoint.</w:t>
      </w:r>
    </w:p>
    <w:p>
      <w:pPr>
        <w:pStyle w:val="Heading2"/>
      </w:pPr>
      <w:r>
        <w:t>7.6 Endpoint schedule</w:t>
      </w:r>
    </w:p>
    <w:p>
      <w:r>
        <w:rPr>
          <w:b w:val="0"/>
          <w:i w:val="0"/>
        </w:rPr>
        <w:t>The distinction that makes this study responsive to the letter is that the neurologic assessment is specialized and quantitative, and is performed in all animals rather than in a recovery subset. The A-703-02 battery — home-cage observational scoring, recovery cohort only, pre-dose and Day 6 — is the coverage FDA found insufficient, and repeating its structure in a monkey would not fix it.</w:t>
      </w:r>
    </w:p>
    <w:tbl>
      <w:tblPr>
        <w:tblStyle w:val="TableGrid"/>
        <w:tblW w:type="auto" w:w="0"/>
        <w:jc w:val="center"/>
        <w:tblLook w:firstColumn="1" w:firstRow="1" w:lastColumn="0" w:lastRow="0" w:noHBand="0" w:noVBand="1" w:val="04A0"/>
      </w:tblPr>
      <w:tblGrid>
        <w:gridCol w:w="3264"/>
        <w:gridCol w:w="3264"/>
        <w:gridCol w:w="3264"/>
      </w:tblGrid>
      <w:tr>
        <w:tc>
          <w:tcPr>
            <w:tcW w:type="dxa" w:w="2160"/>
          </w:tcPr>
          <w:p>
            <w:pPr>
              <w:spacing w:after="40" w:before="40"/>
            </w:pPr>
            <w:r/>
            <w:r>
              <w:rPr>
                <w:b/>
                <w:sz w:val="16"/>
              </w:rPr>
              <w:t>Endpoint</w:t>
            </w:r>
          </w:p>
        </w:tc>
        <w:tc>
          <w:tcPr>
            <w:tcW w:type="dxa" w:w="5832"/>
          </w:tcPr>
          <w:p>
            <w:pPr>
              <w:spacing w:after="40" w:before="40"/>
            </w:pPr>
            <w:r/>
            <w:r>
              <w:rPr>
                <w:b/>
                <w:sz w:val="16"/>
              </w:rPr>
              <w:t>Method / detail</w:t>
            </w:r>
          </w:p>
        </w:tc>
        <w:tc>
          <w:tcPr>
            <w:tcW w:type="dxa" w:w="2088"/>
          </w:tcPr>
          <w:p>
            <w:pPr>
              <w:spacing w:after="40" w:before="40"/>
            </w:pPr>
            <w:r/>
            <w:r>
              <w:rPr>
                <w:b/>
                <w:sz w:val="16"/>
              </w:rPr>
              <w:t>Schedule (study day)</w:t>
            </w:r>
          </w:p>
        </w:tc>
      </w:tr>
      <w:tr>
        <w:tc>
          <w:tcPr>
            <w:tcW w:type="dxa" w:w="2160"/>
          </w:tcPr>
          <w:p>
            <w:pPr>
              <w:spacing w:after="40" w:before="40"/>
            </w:pPr>
            <w:r/>
            <w:r>
              <w:rPr>
                <w:sz w:val="16"/>
              </w:rPr>
              <w:t>Mortality, clinical observations</w:t>
            </w:r>
          </w:p>
        </w:tc>
        <w:tc>
          <w:tcPr>
            <w:tcW w:type="dxa" w:w="5832"/>
          </w:tcPr>
          <w:p>
            <w:pPr>
              <w:spacing w:after="40" w:before="40"/>
            </w:pPr>
            <w:r/>
            <w:r>
              <w:rPr>
                <w:sz w:val="16"/>
              </w:rPr>
              <w:t>Twice daily; cage-side</w:t>
            </w:r>
          </w:p>
        </w:tc>
        <w:tc>
          <w:tcPr>
            <w:tcW w:type="dxa" w:w="2088"/>
          </w:tcPr>
          <w:p>
            <w:pPr>
              <w:spacing w:after="40" w:before="40"/>
            </w:pPr>
            <w:r/>
            <w:r>
              <w:rPr>
                <w:sz w:val="16"/>
              </w:rPr>
              <w:t>Daily throughout</w:t>
            </w:r>
          </w:p>
        </w:tc>
      </w:tr>
      <w:tr>
        <w:tc>
          <w:tcPr>
            <w:tcW w:type="dxa" w:w="2160"/>
          </w:tcPr>
          <w:p>
            <w:pPr>
              <w:spacing w:after="40" w:before="40"/>
            </w:pPr>
            <w:r/>
            <w:r>
              <w:rPr>
                <w:sz w:val="16"/>
              </w:rPr>
              <w:t>Body weight; food consumption</w:t>
            </w:r>
          </w:p>
        </w:tc>
        <w:tc>
          <w:tcPr>
            <w:tcW w:type="dxa" w:w="5832"/>
          </w:tcPr>
          <w:p>
            <w:pPr>
              <w:spacing w:after="40" w:before="40"/>
            </w:pPr>
            <w:r/>
            <w:r>
              <w:rPr>
                <w:sz w:val="16"/>
              </w:rPr>
              <w:t>Weighed weekly; food consumption daily</w:t>
            </w:r>
          </w:p>
        </w:tc>
        <w:tc>
          <w:tcPr>
            <w:tcW w:type="dxa" w:w="2088"/>
          </w:tcPr>
          <w:p>
            <w:pPr>
              <w:spacing w:after="40" w:before="40"/>
            </w:pPr>
            <w:r/>
            <w:r>
              <w:rPr>
                <w:sz w:val="16"/>
              </w:rPr>
              <w:t>Weekly</w:t>
            </w:r>
          </w:p>
        </w:tc>
      </w:tr>
      <w:tr>
        <w:tc>
          <w:tcPr>
            <w:tcW w:type="dxa" w:w="2160"/>
          </w:tcPr>
          <w:p>
            <w:pPr>
              <w:spacing w:after="40" w:before="40"/>
            </w:pPr>
            <w:r/>
            <w:r>
              <w:rPr>
                <w:sz w:val="16"/>
              </w:rPr>
              <w:t>Veterinary neurologic examination</w:t>
            </w:r>
          </w:p>
        </w:tc>
        <w:tc>
          <w:tcPr>
            <w:tcW w:type="dxa" w:w="5832"/>
          </w:tcPr>
          <w:p>
            <w:pPr>
              <w:spacing w:after="40" w:before="40"/>
            </w:pPr>
            <w:r/>
            <w:r>
              <w:rPr>
                <w:sz w:val="16"/>
              </w:rPr>
              <w:t>Full examination by a veterinarian trained in NHP neurology, to a written study-specific method: mentation, cranial nerves I–XII, postural reactions and proprioceptive placing, spinal reflexes (patellar, withdrawal, perineal), muscle tone and mass, gait and ataxia scoring. All animals.</w:t>
            </w:r>
          </w:p>
        </w:tc>
        <w:tc>
          <w:tcPr>
            <w:tcW w:type="dxa" w:w="2088"/>
          </w:tcPr>
          <w:p>
            <w:pPr>
              <w:spacing w:after="40" w:before="40"/>
            </w:pPr>
            <w:r/>
            <w:r>
              <w:rPr>
                <w:sz w:val="16"/>
              </w:rPr>
              <w:t>−7, 2, 9, 29, 57, 92, 120, 150, 182</w:t>
            </w:r>
          </w:p>
        </w:tc>
      </w:tr>
      <w:tr>
        <w:tc>
          <w:tcPr>
            <w:tcW w:type="dxa" w:w="2160"/>
          </w:tcPr>
          <w:p>
            <w:pPr>
              <w:spacing w:after="40" w:before="40"/>
            </w:pPr>
            <w:r/>
            <w:r>
              <w:rPr>
                <w:sz w:val="16"/>
              </w:rPr>
              <w:t>Modified functional observational battery</w:t>
            </w:r>
          </w:p>
        </w:tc>
        <w:tc>
          <w:tcPr>
            <w:tcW w:type="dxa" w:w="5832"/>
          </w:tcPr>
          <w:p>
            <w:pPr>
              <w:spacing w:after="40" w:before="40"/>
            </w:pPr>
            <w:r/>
            <w:r>
              <w:rPr>
                <w:sz w:val="16"/>
              </w:rPr>
              <w:t>Home-cage and handling observations per the A-703-02 study-specific method (General Activity, Mental Status, Body Posture, Gait, Unusual Behavior, Convulsive Activity, autonomic indices), extended to all animals</w:t>
            </w:r>
          </w:p>
        </w:tc>
        <w:tc>
          <w:tcPr>
            <w:tcW w:type="dxa" w:w="2088"/>
          </w:tcPr>
          <w:p>
            <w:pPr>
              <w:spacing w:after="40" w:before="40"/>
            </w:pPr>
            <w:r/>
            <w:r>
              <w:rPr>
                <w:sz w:val="16"/>
              </w:rPr>
              <w:t>−7, 2, 9, 29, 57, 92, 120, 182</w:t>
            </w:r>
          </w:p>
        </w:tc>
      </w:tr>
      <w:tr>
        <w:tc>
          <w:tcPr>
            <w:tcW w:type="dxa" w:w="2160"/>
          </w:tcPr>
          <w:p>
            <w:pPr>
              <w:spacing w:after="40" w:before="40"/>
            </w:pPr>
            <w:r/>
            <w:r>
              <w:rPr>
                <w:sz w:val="16"/>
              </w:rPr>
              <w:t>Quantitative sensory / nociceptive testing</w:t>
            </w:r>
          </w:p>
        </w:tc>
        <w:tc>
          <w:tcPr>
            <w:tcW w:type="dxa" w:w="5832"/>
          </w:tcPr>
          <w:p>
            <w:pPr>
              <w:spacing w:after="40" w:before="40"/>
            </w:pPr>
            <w:r/>
            <w:r>
              <w:rPr>
                <w:sz w:val="16"/>
              </w:rPr>
              <w:t>Thermal withdrawal latency and von Frey mechanical threshold, trained animals, duplicate baselines. This is the endpoint that addresses the peripheral sensory phenotype in the PrP-knockout literature.</w:t>
            </w:r>
          </w:p>
        </w:tc>
        <w:tc>
          <w:tcPr>
            <w:tcW w:type="dxa" w:w="2088"/>
          </w:tcPr>
          <w:p>
            <w:pPr>
              <w:spacing w:after="40" w:before="40"/>
            </w:pPr>
            <w:r/>
            <w:r>
              <w:rPr>
                <w:sz w:val="16"/>
              </w:rPr>
              <w:t>−14 and −7 (baseline), 29, 92, 150, 182</w:t>
            </w:r>
          </w:p>
        </w:tc>
      </w:tr>
      <w:tr>
        <w:tc>
          <w:tcPr>
            <w:tcW w:type="dxa" w:w="2160"/>
          </w:tcPr>
          <w:p>
            <w:pPr>
              <w:spacing w:after="40" w:before="40"/>
            </w:pPr>
            <w:r/>
            <w:r>
              <w:rPr>
                <w:sz w:val="16"/>
              </w:rPr>
              <w:t>Grip strength</w:t>
            </w:r>
          </w:p>
        </w:tc>
        <w:tc>
          <w:tcPr>
            <w:tcW w:type="dxa" w:w="5832"/>
          </w:tcPr>
          <w:p>
            <w:pPr>
              <w:spacing w:after="40" w:before="40"/>
            </w:pPr>
            <w:r/>
            <w:r>
              <w:rPr>
                <w:sz w:val="16"/>
              </w:rPr>
              <w:t>Quantitative fore- and hind-limb dynamometry</w:t>
            </w:r>
          </w:p>
        </w:tc>
        <w:tc>
          <w:tcPr>
            <w:tcW w:type="dxa" w:w="2088"/>
          </w:tcPr>
          <w:p>
            <w:pPr>
              <w:spacing w:after="40" w:before="40"/>
            </w:pPr>
            <w:r/>
            <w:r>
              <w:rPr>
                <w:sz w:val="16"/>
              </w:rPr>
              <w:t>−7, 29, 92, 182</w:t>
            </w:r>
          </w:p>
        </w:tc>
      </w:tr>
      <w:tr>
        <w:tc>
          <w:tcPr>
            <w:tcW w:type="dxa" w:w="2160"/>
          </w:tcPr>
          <w:p>
            <w:pPr>
              <w:spacing w:after="40" w:before="40"/>
            </w:pPr>
            <w:r/>
            <w:r>
              <w:rPr>
                <w:sz w:val="16"/>
              </w:rPr>
              <w:t>Motor activity</w:t>
            </w:r>
          </w:p>
        </w:tc>
        <w:tc>
          <w:tcPr>
            <w:tcW w:type="dxa" w:w="5832"/>
          </w:tcPr>
          <w:p>
            <w:pPr>
              <w:spacing w:after="40" w:before="40"/>
            </w:pPr>
            <w:r/>
            <w:r>
              <w:rPr>
                <w:sz w:val="16"/>
              </w:rPr>
              <w:t>Continuous actigraphy or telemetric activity, ≥24 h per session, with an acclimated baseline</w:t>
            </w:r>
          </w:p>
        </w:tc>
        <w:tc>
          <w:tcPr>
            <w:tcW w:type="dxa" w:w="2088"/>
          </w:tcPr>
          <w:p>
            <w:pPr>
              <w:spacing w:after="40" w:before="40"/>
            </w:pPr>
            <w:r/>
            <w:r>
              <w:rPr>
                <w:sz w:val="16"/>
              </w:rPr>
              <w:t>−7, 30, 93, 183</w:t>
            </w:r>
          </w:p>
        </w:tc>
      </w:tr>
      <w:tr>
        <w:tc>
          <w:tcPr>
            <w:tcW w:type="dxa" w:w="2160"/>
          </w:tcPr>
          <w:p>
            <w:pPr>
              <w:spacing w:after="40" w:before="40"/>
            </w:pPr>
            <w:r/>
            <w:r>
              <w:rPr>
                <w:sz w:val="16"/>
              </w:rPr>
              <w:t>Nerve conduction studies</w:t>
            </w:r>
          </w:p>
        </w:tc>
        <w:tc>
          <w:tcPr>
            <w:tcW w:type="dxa" w:w="5832"/>
          </w:tcPr>
          <w:p>
            <w:pPr>
              <w:spacing w:after="40" w:before="40"/>
            </w:pPr>
            <w:r/>
            <w:r>
              <w:rPr>
                <w:sz w:val="16"/>
              </w:rPr>
              <w:t>Motor NCV, compound muscle action potential amplitude and distal latency, and F-wave latency in median/ulnar and tibial/peroneal nerves; sensory NCV in the sural nerve. Standardized anesthesia, limb temperature monitored and reported. This is the single most important addition: it is the direct functional correlate of the demyelinating polyneuropathy reported in aged PrP-knockout mice and goats, and no study in the IND has ever measured it.</w:t>
            </w:r>
          </w:p>
        </w:tc>
        <w:tc>
          <w:tcPr>
            <w:tcW w:type="dxa" w:w="2088"/>
          </w:tcPr>
          <w:p>
            <w:pPr>
              <w:spacing w:after="40" w:before="40"/>
            </w:pPr>
            <w:r/>
            <w:r>
              <w:rPr>
                <w:sz w:val="16"/>
              </w:rPr>
              <w:t>−14 (baseline), 92, 182</w:t>
            </w:r>
          </w:p>
        </w:tc>
      </w:tr>
      <w:tr>
        <w:tc>
          <w:tcPr>
            <w:tcW w:type="dxa" w:w="2160"/>
          </w:tcPr>
          <w:p>
            <w:pPr>
              <w:spacing w:after="40" w:before="40"/>
            </w:pPr>
            <w:r/>
            <w:r>
              <w:rPr>
                <w:sz w:val="16"/>
              </w:rPr>
              <w:t>Evoked potentials</w:t>
            </w:r>
          </w:p>
        </w:tc>
        <w:tc>
          <w:tcPr>
            <w:tcW w:type="dxa" w:w="5832"/>
          </w:tcPr>
          <w:p>
            <w:pPr>
              <w:spacing w:after="40" w:before="40"/>
            </w:pPr>
            <w:r/>
            <w:r>
              <w:rPr>
                <w:sz w:val="16"/>
              </w:rPr>
              <w:t>Brainstem auditory and somatosensory evoked potentials</w:t>
            </w:r>
          </w:p>
        </w:tc>
        <w:tc>
          <w:tcPr>
            <w:tcW w:type="dxa" w:w="2088"/>
          </w:tcPr>
          <w:p>
            <w:pPr>
              <w:spacing w:after="40" w:before="40"/>
            </w:pPr>
            <w:r/>
            <w:r>
              <w:rPr>
                <w:sz w:val="16"/>
              </w:rPr>
              <w:t>−14 (baseline), 182</w:t>
            </w:r>
          </w:p>
        </w:tc>
      </w:tr>
      <w:tr>
        <w:tc>
          <w:tcPr>
            <w:tcW w:type="dxa" w:w="2160"/>
          </w:tcPr>
          <w:p>
            <w:pPr>
              <w:spacing w:after="40" w:before="40"/>
            </w:pPr>
            <w:r/>
            <w:r>
              <w:rPr>
                <w:sz w:val="16"/>
              </w:rPr>
              <w:t>CSF pharmacodynamics</w:t>
            </w:r>
          </w:p>
        </w:tc>
        <w:tc>
          <w:tcPr>
            <w:tcW w:type="dxa" w:w="5832"/>
          </w:tcPr>
          <w:p>
            <w:pPr>
              <w:spacing w:after="40" w:before="40"/>
            </w:pPr>
            <w:r/>
            <w:r>
              <w:rPr>
                <w:sz w:val="16"/>
              </w:rPr>
              <w:t>Total PrP by ELISA qualified in cynomolgus CSF (Section 7.7), reported as % of each animal’s own pre-dose baseline; plus total protein, cell count, glucose</w:t>
            </w:r>
          </w:p>
        </w:tc>
        <w:tc>
          <w:tcPr>
            <w:tcW w:type="dxa" w:w="2088"/>
          </w:tcPr>
          <w:p>
            <w:pPr>
              <w:spacing w:after="40" w:before="40"/>
            </w:pPr>
            <w:r/>
            <w:r>
              <w:rPr>
                <w:sz w:val="16"/>
              </w:rPr>
              <w:t>−7, 8 (pre-dose), 29, 57, 91 (pre-dose), 120, 182 (pre-dose), 183</w:t>
            </w:r>
          </w:p>
        </w:tc>
      </w:tr>
      <w:tr>
        <w:tc>
          <w:tcPr>
            <w:tcW w:type="dxa" w:w="2160"/>
          </w:tcPr>
          <w:p>
            <w:pPr>
              <w:spacing w:after="40" w:before="40"/>
            </w:pPr>
            <w:r/>
            <w:r>
              <w:rPr>
                <w:sz w:val="16"/>
              </w:rPr>
              <w:t>CSF injury biomarkers</w:t>
            </w:r>
          </w:p>
        </w:tc>
        <w:tc>
          <w:tcPr>
            <w:tcW w:type="dxa" w:w="5832"/>
          </w:tcPr>
          <w:p>
            <w:pPr>
              <w:spacing w:after="40" w:before="40"/>
            </w:pPr>
            <w:r/>
            <w:r>
              <w:rPr>
                <w:sz w:val="16"/>
              </w:rPr>
              <w:t>Neurofilament light chain and GFAP, same samples</w:t>
            </w:r>
          </w:p>
        </w:tc>
        <w:tc>
          <w:tcPr>
            <w:tcW w:type="dxa" w:w="2088"/>
          </w:tcPr>
          <w:p>
            <w:pPr>
              <w:spacing w:after="40" w:before="40"/>
            </w:pPr>
            <w:r/>
            <w:r>
              <w:rPr>
                <w:sz w:val="16"/>
              </w:rPr>
              <w:t>Same as CSF PD schedule</w:t>
            </w:r>
          </w:p>
        </w:tc>
      </w:tr>
      <w:tr>
        <w:tc>
          <w:tcPr>
            <w:tcW w:type="dxa" w:w="2160"/>
          </w:tcPr>
          <w:p>
            <w:pPr>
              <w:spacing w:after="40" w:before="40"/>
            </w:pPr>
            <w:r/>
            <w:r>
              <w:rPr>
                <w:sz w:val="16"/>
              </w:rPr>
              <w:t>Ophthalmology</w:t>
            </w:r>
          </w:p>
        </w:tc>
        <w:tc>
          <w:tcPr>
            <w:tcW w:type="dxa" w:w="5832"/>
          </w:tcPr>
          <w:p>
            <w:pPr>
              <w:spacing w:after="40" w:before="40"/>
            </w:pPr>
            <w:r/>
            <w:r>
              <w:rPr>
                <w:sz w:val="16"/>
              </w:rPr>
              <w:t>Indirect ophthalmoscopy and slit lamp</w:t>
            </w:r>
          </w:p>
        </w:tc>
        <w:tc>
          <w:tcPr>
            <w:tcW w:type="dxa" w:w="2088"/>
          </w:tcPr>
          <w:p>
            <w:pPr>
              <w:spacing w:after="40" w:before="40"/>
            </w:pPr>
            <w:r/>
            <w:r>
              <w:rPr>
                <w:sz w:val="16"/>
              </w:rPr>
              <w:t>−7, 92, 182</w:t>
            </w:r>
          </w:p>
        </w:tc>
      </w:tr>
      <w:tr>
        <w:tc>
          <w:tcPr>
            <w:tcW w:type="dxa" w:w="2160"/>
          </w:tcPr>
          <w:p>
            <w:pPr>
              <w:spacing w:after="40" w:before="40"/>
            </w:pPr>
            <w:r/>
            <w:r>
              <w:rPr>
                <w:sz w:val="16"/>
              </w:rPr>
              <w:t>Clinical pathology</w:t>
            </w:r>
          </w:p>
        </w:tc>
        <w:tc>
          <w:tcPr>
            <w:tcW w:type="dxa" w:w="5832"/>
          </w:tcPr>
          <w:p>
            <w:pPr>
              <w:spacing w:after="40" w:before="40"/>
            </w:pPr>
            <w:r/>
            <w:r>
              <w:rPr>
                <w:sz w:val="16"/>
              </w:rPr>
              <w:t>Hematology, coagulation, clinical chemistry, urinalysis</w:t>
            </w:r>
          </w:p>
        </w:tc>
        <w:tc>
          <w:tcPr>
            <w:tcW w:type="dxa" w:w="2088"/>
          </w:tcPr>
          <w:p>
            <w:pPr>
              <w:spacing w:after="40" w:before="40"/>
            </w:pPr>
            <w:r/>
            <w:r>
              <w:rPr>
                <w:sz w:val="16"/>
              </w:rPr>
              <w:t>−7, 8, 29, 92, 182 (and terminal)</w:t>
            </w:r>
          </w:p>
        </w:tc>
      </w:tr>
      <w:tr>
        <w:tc>
          <w:tcPr>
            <w:tcW w:type="dxa" w:w="2160"/>
          </w:tcPr>
          <w:p>
            <w:pPr>
              <w:spacing w:after="40" w:before="40"/>
            </w:pPr>
            <w:r/>
            <w:r>
              <w:rPr>
                <w:sz w:val="16"/>
              </w:rPr>
              <w:t>Complement and cytokines</w:t>
            </w:r>
          </w:p>
        </w:tc>
        <w:tc>
          <w:tcPr>
            <w:tcW w:type="dxa" w:w="5832"/>
          </w:tcPr>
          <w:p>
            <w:pPr>
              <w:spacing w:after="40" w:before="40"/>
            </w:pPr>
            <w:r/>
            <w:r>
              <w:rPr>
                <w:sz w:val="16"/>
              </w:rPr>
              <w:t>Bb and C3a; cytokine panel</w:t>
            </w:r>
          </w:p>
        </w:tc>
        <w:tc>
          <w:tcPr>
            <w:tcW w:type="dxa" w:w="2088"/>
          </w:tcPr>
          <w:p>
            <w:pPr>
              <w:spacing w:after="40" w:before="40"/>
            </w:pPr>
            <w:r/>
            <w:r>
              <w:rPr>
                <w:sz w:val="16"/>
              </w:rPr>
              <w:t>Pre-dose and 24 h after dose 1 and dose 4</w:t>
            </w:r>
          </w:p>
        </w:tc>
      </w:tr>
      <w:tr>
        <w:tc>
          <w:tcPr>
            <w:tcW w:type="dxa" w:w="2160"/>
          </w:tcPr>
          <w:p>
            <w:pPr>
              <w:spacing w:after="40" w:before="40"/>
            </w:pPr>
            <w:r/>
            <w:r>
              <w:rPr>
                <w:sz w:val="16"/>
              </w:rPr>
              <w:t>Safety pharmacology — cardiovascular</w:t>
            </w:r>
          </w:p>
        </w:tc>
        <w:tc>
          <w:tcPr>
            <w:tcW w:type="dxa" w:w="5832"/>
          </w:tcPr>
          <w:p>
            <w:pPr>
              <w:spacing w:after="40" w:before="40"/>
            </w:pPr>
            <w:r/>
            <w:r>
              <w:rPr>
                <w:sz w:val="16"/>
              </w:rPr>
              <w:t>Jacketed external telemetry or Holter ECG with quantitative interval analysis, plus blood pressure</w:t>
            </w:r>
          </w:p>
        </w:tc>
        <w:tc>
          <w:tcPr>
            <w:tcW w:type="dxa" w:w="2088"/>
          </w:tcPr>
          <w:p>
            <w:pPr>
              <w:spacing w:after="40" w:before="40"/>
            </w:pPr>
            <w:r/>
            <w:r>
              <w:rPr>
                <w:sz w:val="16"/>
              </w:rPr>
              <w:t>Baseline; 24 h after dose 1 and dose 4</w:t>
            </w:r>
          </w:p>
        </w:tc>
      </w:tr>
      <w:tr>
        <w:tc>
          <w:tcPr>
            <w:tcW w:type="dxa" w:w="2160"/>
          </w:tcPr>
          <w:p>
            <w:pPr>
              <w:spacing w:after="40" w:before="40"/>
            </w:pPr>
            <w:r/>
            <w:r>
              <w:rPr>
                <w:sz w:val="16"/>
              </w:rPr>
              <w:t>Safety pharmacology — respiratory</w:t>
            </w:r>
          </w:p>
        </w:tc>
        <w:tc>
          <w:tcPr>
            <w:tcW w:type="dxa" w:w="5832"/>
          </w:tcPr>
          <w:p>
            <w:pPr>
              <w:spacing w:after="40" w:before="40"/>
            </w:pPr>
            <w:r/>
            <w:r>
              <w:rPr>
                <w:sz w:val="16"/>
              </w:rPr>
              <w:t>Respiratory rate and pattern</w:t>
            </w:r>
          </w:p>
        </w:tc>
        <w:tc>
          <w:tcPr>
            <w:tcW w:type="dxa" w:w="2088"/>
          </w:tcPr>
          <w:p>
            <w:pPr>
              <w:spacing w:after="40" w:before="40"/>
            </w:pPr>
            <w:r/>
            <w:r>
              <w:rPr>
                <w:sz w:val="16"/>
              </w:rPr>
              <w:t>Baseline; 24 h after dose 1 and dose 4</w:t>
            </w:r>
          </w:p>
        </w:tc>
      </w:tr>
      <w:tr>
        <w:tc>
          <w:tcPr>
            <w:tcW w:type="dxa" w:w="2160"/>
          </w:tcPr>
          <w:p>
            <w:pPr>
              <w:spacing w:after="40" w:before="40"/>
            </w:pPr>
            <w:r/>
            <w:r>
              <w:rPr>
                <w:sz w:val="16"/>
              </w:rPr>
              <w:t>Toxicokinetics</w:t>
            </w:r>
          </w:p>
        </w:tc>
        <w:tc>
          <w:tcPr>
            <w:tcW w:type="dxa" w:w="5832"/>
          </w:tcPr>
          <w:p>
            <w:pPr>
              <w:spacing w:after="40" w:before="40"/>
            </w:pPr>
            <w:r/>
            <w:r>
              <w:rPr>
                <w:sz w:val="16"/>
              </w:rPr>
              <w:t>2439-exNA in CSF and plasma by validated PNA-AEX-HPLC (cynomolgus matrices)</w:t>
            </w:r>
          </w:p>
        </w:tc>
        <w:tc>
          <w:tcPr>
            <w:tcW w:type="dxa" w:w="2088"/>
          </w:tcPr>
          <w:p>
            <w:pPr>
              <w:spacing w:after="40" w:before="40"/>
            </w:pPr>
            <w:r/>
            <w:r>
              <w:rPr>
                <w:sz w:val="16"/>
              </w:rPr>
              <w:t>1, 4 and 24 h after dose 1 and dose 4; pre-dose on Days 8, 91, 182</w:t>
            </w:r>
          </w:p>
        </w:tc>
      </w:tr>
      <w:tr>
        <w:tc>
          <w:tcPr>
            <w:tcW w:type="dxa" w:w="2160"/>
          </w:tcPr>
          <w:p>
            <w:pPr>
              <w:spacing w:after="40" w:before="40"/>
            </w:pPr>
            <w:r/>
            <w:r>
              <w:rPr>
                <w:sz w:val="16"/>
              </w:rPr>
              <w:t>Terminal pharmacodynamics — mRNA</w:t>
            </w:r>
          </w:p>
        </w:tc>
        <w:tc>
          <w:tcPr>
            <w:tcW w:type="dxa" w:w="5832"/>
          </w:tcPr>
          <w:p>
            <w:pPr>
              <w:spacing w:after="40" w:before="40"/>
            </w:pPr>
            <w:r/>
            <w:r>
              <w:rPr>
                <w:sz w:val="16"/>
              </w:rPr>
              <w:t>PRNP mRNA by RT-qPCR, 2^−ΔΔCt normalized to TBP, in frontal cortex, thalamus, caudate/putamen, hippocampus, cerebellar cortex, cervical and lumbar spinal cord</w:t>
            </w:r>
          </w:p>
        </w:tc>
        <w:tc>
          <w:tcPr>
            <w:tcW w:type="dxa" w:w="2088"/>
          </w:tcPr>
          <w:p>
            <w:pPr>
              <w:spacing w:after="40" w:before="40"/>
            </w:pPr>
            <w:r/>
            <w:r>
              <w:rPr>
                <w:sz w:val="16"/>
              </w:rPr>
              <w:t>Day 92 and Day 183 necropsies</w:t>
            </w:r>
          </w:p>
        </w:tc>
      </w:tr>
      <w:tr>
        <w:tc>
          <w:tcPr>
            <w:tcW w:type="dxa" w:w="2160"/>
          </w:tcPr>
          <w:p>
            <w:pPr>
              <w:spacing w:after="40" w:before="40"/>
            </w:pPr>
            <w:r/>
            <w:r>
              <w:rPr>
                <w:sz w:val="16"/>
              </w:rPr>
              <w:t>Terminal pharmacodynamics — protein</w:t>
            </w:r>
          </w:p>
        </w:tc>
        <w:tc>
          <w:tcPr>
            <w:tcW w:type="dxa" w:w="5832"/>
          </w:tcPr>
          <w:p>
            <w:pPr>
              <w:spacing w:after="40" w:before="40"/>
            </w:pPr>
            <w:r/>
            <w:r>
              <w:rPr>
                <w:sz w:val="16"/>
              </w:rPr>
              <w:t>Total PrP by ELISA on homogenate from the same regions and the same aliquot scheme</w:t>
            </w:r>
          </w:p>
        </w:tc>
        <w:tc>
          <w:tcPr>
            <w:tcW w:type="dxa" w:w="2088"/>
          </w:tcPr>
          <w:p>
            <w:pPr>
              <w:spacing w:after="40" w:before="40"/>
            </w:pPr>
            <w:r/>
            <w:r>
              <w:rPr>
                <w:sz w:val="16"/>
              </w:rPr>
              <w:t>Day 92 and Day 183 necropsies</w:t>
            </w:r>
          </w:p>
        </w:tc>
      </w:tr>
      <w:tr>
        <w:tc>
          <w:tcPr>
            <w:tcW w:type="dxa" w:w="2160"/>
          </w:tcPr>
          <w:p>
            <w:pPr>
              <w:spacing w:after="40" w:before="40"/>
            </w:pPr>
            <w:r/>
            <w:r>
              <w:rPr>
                <w:sz w:val="16"/>
              </w:rPr>
              <w:t>Terminal drug concentration</w:t>
            </w:r>
          </w:p>
        </w:tc>
        <w:tc>
          <w:tcPr>
            <w:tcW w:type="dxa" w:w="5832"/>
          </w:tcPr>
          <w:p>
            <w:pPr>
              <w:spacing w:after="40" w:before="40"/>
            </w:pPr>
            <w:r/>
            <w:r>
              <w:rPr>
                <w:sz w:val="16"/>
              </w:rPr>
              <w:t>2439-exNA by PNA-AEX-HPLC in the same regions and the same aliquots, so exposure and effect are paired within each animal (the design feature that made the CMR-2521 exposure–response analysis in Section 4.1 possible)</w:t>
            </w:r>
          </w:p>
        </w:tc>
        <w:tc>
          <w:tcPr>
            <w:tcW w:type="dxa" w:w="2088"/>
          </w:tcPr>
          <w:p>
            <w:pPr>
              <w:spacing w:after="40" w:before="40"/>
            </w:pPr>
            <w:r/>
            <w:r>
              <w:rPr>
                <w:sz w:val="16"/>
              </w:rPr>
              <w:t>Day 92 and Day 183 necropsies</w:t>
            </w:r>
          </w:p>
        </w:tc>
      </w:tr>
      <w:tr>
        <w:tc>
          <w:tcPr>
            <w:tcW w:type="dxa" w:w="2160"/>
          </w:tcPr>
          <w:p>
            <w:pPr>
              <w:spacing w:after="40" w:before="40"/>
            </w:pPr>
            <w:r/>
            <w:r>
              <w:rPr>
                <w:sz w:val="16"/>
              </w:rPr>
              <w:t>Neuropathology — CNS</w:t>
            </w:r>
          </w:p>
        </w:tc>
        <w:tc>
          <w:tcPr>
            <w:tcW w:type="dxa" w:w="5832"/>
          </w:tcPr>
          <w:p>
            <w:pPr>
              <w:spacing w:after="40" w:before="40"/>
            </w:pPr>
            <w:r/>
            <w:r>
              <w:rPr>
                <w:sz w:val="16"/>
              </w:rPr>
              <w:t>Immersion fixation; brain at ≥7 standard levels; cervical, thoracic and lumbar spinal cord; H&amp;E plus GFAP and Iba1 immunohistochemistry (gliosis was the only test-article-related microscopic finding in A-703-02, at 60 and 200 mg, so it must be assessed with the same markers)</w:t>
            </w:r>
          </w:p>
        </w:tc>
        <w:tc>
          <w:tcPr>
            <w:tcW w:type="dxa" w:w="2088"/>
          </w:tcPr>
          <w:p>
            <w:pPr>
              <w:spacing w:after="40" w:before="40"/>
            </w:pPr>
            <w:r/>
            <w:r>
              <w:rPr>
                <w:sz w:val="16"/>
              </w:rPr>
              <w:t>Both necropsies</w:t>
            </w:r>
          </w:p>
        </w:tc>
      </w:tr>
      <w:tr>
        <w:tc>
          <w:tcPr>
            <w:tcW w:type="dxa" w:w="2160"/>
          </w:tcPr>
          <w:p>
            <w:pPr>
              <w:spacing w:after="40" w:before="40"/>
            </w:pPr>
            <w:r/>
            <w:r>
              <w:rPr>
                <w:sz w:val="16"/>
              </w:rPr>
              <w:t>Neuropathology — peripheral nervous system</w:t>
            </w:r>
          </w:p>
        </w:tc>
        <w:tc>
          <w:tcPr>
            <w:tcW w:type="dxa" w:w="5832"/>
          </w:tcPr>
          <w:p>
            <w:pPr>
              <w:spacing w:after="40" w:before="40"/>
            </w:pPr>
            <w:r/>
            <w:r>
              <w:rPr>
                <w:sz w:val="16"/>
              </w:rPr>
              <w:t>Dorsal root ganglia (cervical and lumbar), dorsal and ventral spinal roots, trigeminal ganglion, sciatic, tibial, peroneal and sural nerves, and gastrocnemius and biceps femoris muscle</w:t>
            </w:r>
          </w:p>
        </w:tc>
        <w:tc>
          <w:tcPr>
            <w:tcW w:type="dxa" w:w="2088"/>
          </w:tcPr>
          <w:p>
            <w:pPr>
              <w:spacing w:after="40" w:before="40"/>
            </w:pPr>
            <w:r/>
            <w:r>
              <w:rPr>
                <w:sz w:val="16"/>
              </w:rPr>
              <w:t>Both necropsies</w:t>
            </w:r>
          </w:p>
        </w:tc>
      </w:tr>
      <w:tr>
        <w:tc>
          <w:tcPr>
            <w:tcW w:type="dxa" w:w="2160"/>
          </w:tcPr>
          <w:p>
            <w:pPr>
              <w:spacing w:after="40" w:before="40"/>
            </w:pPr>
            <w:r/>
            <w:r>
              <w:rPr>
                <w:sz w:val="16"/>
              </w:rPr>
              <w:t>Peripheral nerve morphology</w:t>
            </w:r>
          </w:p>
        </w:tc>
        <w:tc>
          <w:tcPr>
            <w:tcW w:type="dxa" w:w="5832"/>
          </w:tcPr>
          <w:p>
            <w:pPr>
              <w:spacing w:after="40" w:before="40"/>
            </w:pPr>
            <w:r/>
            <w:r>
              <w:rPr>
                <w:sz w:val="16"/>
              </w:rPr>
              <w:t>Epoxy-resin semithin sections with toluidine blue, teased-fiber preparations, and quantitative myelin morphometry (myelin thickness, g-ratio, fiber-diameter histograms) on sciatic and tibial nerves; electron microscopy in control and high-dose animals. Optional: skin biopsy for intraepidermal nerve-fiber density.</w:t>
            </w:r>
          </w:p>
        </w:tc>
        <w:tc>
          <w:tcPr>
            <w:tcW w:type="dxa" w:w="2088"/>
          </w:tcPr>
          <w:p>
            <w:pPr>
              <w:spacing w:after="40" w:before="40"/>
            </w:pPr>
            <w:r/>
            <w:r>
              <w:rPr>
                <w:sz w:val="16"/>
              </w:rPr>
              <w:t>Both necropsies</w:t>
            </w:r>
          </w:p>
        </w:tc>
      </w:tr>
      <w:tr>
        <w:tc>
          <w:tcPr>
            <w:tcW w:type="dxa" w:w="2160"/>
          </w:tcPr>
          <w:p>
            <w:pPr>
              <w:spacing w:after="40" w:before="40"/>
            </w:pPr>
            <w:r/>
            <w:r>
              <w:rPr>
                <w:sz w:val="16"/>
              </w:rPr>
              <w:t>Injection-site pathology</w:t>
            </w:r>
          </w:p>
        </w:tc>
        <w:tc>
          <w:tcPr>
            <w:tcW w:type="dxa" w:w="5832"/>
          </w:tcPr>
          <w:p>
            <w:pPr>
              <w:spacing w:after="40" w:before="40"/>
            </w:pPr>
            <w:r/>
            <w:r>
              <w:rPr>
                <w:sz w:val="16"/>
              </w:rPr>
              <w:t>Lumbar meninges, cauda equina and nerve roots at the injection site, examined and reported separately from test-article effects</w:t>
            </w:r>
          </w:p>
        </w:tc>
        <w:tc>
          <w:tcPr>
            <w:tcW w:type="dxa" w:w="2088"/>
          </w:tcPr>
          <w:p>
            <w:pPr>
              <w:spacing w:after="40" w:before="40"/>
            </w:pPr>
            <w:r/>
            <w:r>
              <w:rPr>
                <w:sz w:val="16"/>
              </w:rPr>
              <w:t>Both necropsies</w:t>
            </w:r>
          </w:p>
        </w:tc>
      </w:tr>
    </w:tbl>
    <w:p/>
    <w:p>
      <w:r>
        <w:rPr>
          <w:b w:val="0"/>
          <w:i w:val="0"/>
        </w:rPr>
        <w:t>One scope decision, stated so it is not read as an omission: no formal cognitive battery is specified. FDA’s concern is neurobehavioral function, and a GLP-compliant NHP cognitive battery adds training burden and between-animal variance without a validated regulatory endpoint. Neurobehavioral coverage is instead provided by the veterinary neurologic examination, the extended observational battery, quantitative motor activity, grip strength, sensory testing and evoked potentials. If FDA prefers a cognitive endpoint, the efficient path is to agree it in a Type C interaction before the protocol is final rather than to add an unvalidated battery unilaterally.</w:t>
      </w:r>
    </w:p>
    <w:p>
      <w:pPr>
        <w:pStyle w:val="Heading2"/>
      </w:pPr>
      <w:r>
        <w:t>7.7 Bioanalytical and pharmacodynamic assay requirements</w:t>
      </w:r>
    </w:p>
    <w:p>
      <w:pPr>
        <w:pStyle w:val="ListBullet"/>
      </w:pPr>
      <w:r>
        <w:t>Drug concentration. The existing PNA-AEX-HPLC method development and validation reports (Axolabs) cover rat and dog matrices. Validation in cynomolgus CSF, plasma and tissue is required before first dose, under GLP, with documented LLOQ per matrix. This is a critical-path item (Section 7.8).</w:t>
      </w:r>
    </w:p>
    <w:p>
      <w:pPr>
        <w:pStyle w:val="ListBullet"/>
      </w:pPr>
      <w:r>
        <w:t>CSF PrP ELISA. Must be qualified in cynomolgus CSF using cynomolgus QC pools spanning the expected range, with pre-specified intra- and inter-assay precision (≤20% CV) and a documented lower reportable limit. Murine research-grade QC pools are not acceptable for a pivotal pharmacodynamic endpoint; the internal ELISA QC data show 15–18% CV and upward bias at low residual (Section 5), which sets the floor on what the assay can resolve. Report each animal against its own pre-dose baseline, not against a group mean.</w:t>
      </w:r>
    </w:p>
    <w:p>
      <w:pPr>
        <w:pStyle w:val="ListBullet"/>
      </w:pPr>
      <w:r>
        <w:t>BQL handling. Pre-specify in the analytical plan that below-limit results are reported with their counts and never imputed as zero or summarized as an "all animals" statement. This is the direct fix for the error at Section 3.4, row 2.</w:t>
      </w:r>
    </w:p>
    <w:p>
      <w:pPr>
        <w:pStyle w:val="ListBullet"/>
      </w:pPr>
      <w:r>
        <w:t>CSF sample integrity. Record and report blood contamination for every CSF collection, and pre-specify the exclusion rule. Do not adopt total-protein normalization as a rescue for traumatic taps, as proposed in BA-MEMO-2025-03-19; total protein is itself an outcome variable in an intrathecal toxicity study.</w:t>
      </w:r>
    </w:p>
    <w:p>
      <w:pPr>
        <w:pStyle w:val="ListBullet"/>
      </w:pPr>
      <w:r>
        <w:t>Cynomolgus off-target table. Generate a Macaca fascicularis transcriptome BLAST analysis by the 4.2.1.2 method (refseq_select, megablast, +1/−1, antisense-orientation filter) and include it in the study report, so that findings can be attributed to on-target or off-target hybridization.</w:t>
      </w:r>
    </w:p>
    <w:p>
      <w:pPr>
        <w:pStyle w:val="Heading2"/>
      </w:pPr>
      <w:r>
        <w:t>7.8 Operational prerequisites and critical path</w:t>
      </w:r>
    </w:p>
    <w:tbl>
      <w:tblPr>
        <w:tblStyle w:val="TableGrid"/>
        <w:tblW w:type="auto" w:w="0"/>
        <w:jc w:val="center"/>
        <w:tblLook w:firstColumn="1" w:firstRow="1" w:lastColumn="0" w:lastRow="0" w:noHBand="0" w:noVBand="1" w:val="04A0"/>
      </w:tblPr>
      <w:tblGrid>
        <w:gridCol w:w="3264"/>
        <w:gridCol w:w="3264"/>
        <w:gridCol w:w="3264"/>
      </w:tblGrid>
      <w:tr>
        <w:tc>
          <w:tcPr>
            <w:tcW w:type="dxa" w:w="1656"/>
          </w:tcPr>
          <w:p>
            <w:pPr>
              <w:spacing w:after="40" w:before="40"/>
            </w:pPr>
            <w:r/>
            <w:r>
              <w:rPr>
                <w:b/>
                <w:sz w:val="17"/>
              </w:rPr>
              <w:t>Item</w:t>
            </w:r>
          </w:p>
        </w:tc>
        <w:tc>
          <w:tcPr>
            <w:tcW w:type="dxa" w:w="4104"/>
          </w:tcPr>
          <w:p>
            <w:pPr>
              <w:spacing w:after="40" w:before="40"/>
            </w:pPr>
            <w:r/>
            <w:r>
              <w:rPr>
                <w:b/>
                <w:sz w:val="17"/>
              </w:rPr>
              <w:t>Requirement</w:t>
            </w:r>
          </w:p>
        </w:tc>
        <w:tc>
          <w:tcPr>
            <w:tcW w:type="dxa" w:w="4320"/>
          </w:tcPr>
          <w:p>
            <w:pPr>
              <w:spacing w:after="40" w:before="40"/>
            </w:pPr>
            <w:r/>
            <w:r>
              <w:rPr>
                <w:b/>
                <w:sz w:val="17"/>
              </w:rPr>
              <w:t>Note</w:t>
            </w:r>
          </w:p>
        </w:tc>
      </w:tr>
      <w:tr>
        <w:tc>
          <w:tcPr>
            <w:tcW w:type="dxa" w:w="1656"/>
          </w:tcPr>
          <w:p>
            <w:pPr>
              <w:spacing w:after="40" w:before="40"/>
            </w:pPr>
            <w:r/>
            <w:r>
              <w:rPr>
                <w:sz w:val="17"/>
              </w:rPr>
              <w:t>Testing facility</w:t>
            </w:r>
          </w:p>
        </w:tc>
        <w:tc>
          <w:tcPr>
            <w:tcW w:type="dxa" w:w="4104"/>
          </w:tcPr>
          <w:p>
            <w:pPr>
              <w:spacing w:after="40" w:before="40"/>
            </w:pPr>
            <w:r/>
            <w:r>
              <w:rPr>
                <w:sz w:val="17"/>
              </w:rPr>
              <w:t>21 CFR Part 58 GLP facility with validated NHP intrathecal bolus dosing, NHP neurology capability, and in-house or qualified subcontracted nerve conduction and evoked-potential capability</w:t>
            </w:r>
          </w:p>
        </w:tc>
        <w:tc>
          <w:tcPr>
            <w:tcW w:type="dxa" w:w="4320"/>
          </w:tcPr>
          <w:p>
            <w:pPr>
              <w:spacing w:after="40" w:before="40"/>
            </w:pPr>
            <w:r/>
            <w:r>
              <w:rPr>
                <w:sz w:val="17"/>
              </w:rPr>
              <w:t>AmplifyBio’s April 2025 shutdown (NONCLIN-MINUTES-2025-04-08) removes guaranteed capacity. Facility selection, not species selection, is the schedule driver — and it was the real attraction of Option A.</w:t>
            </w:r>
          </w:p>
        </w:tc>
      </w:tr>
      <w:tr>
        <w:tc>
          <w:tcPr>
            <w:tcW w:type="dxa" w:w="1656"/>
          </w:tcPr>
          <w:p>
            <w:pPr>
              <w:spacing w:after="40" w:before="40"/>
            </w:pPr>
            <w:r/>
            <w:r>
              <w:rPr>
                <w:sz w:val="17"/>
              </w:rPr>
              <w:t>Animal sourcing</w:t>
            </w:r>
          </w:p>
        </w:tc>
        <w:tc>
          <w:tcPr>
            <w:tcW w:type="dxa" w:w="4104"/>
          </w:tcPr>
          <w:p>
            <w:pPr>
              <w:spacing w:after="40" w:before="40"/>
            </w:pPr>
            <w:r/>
            <w:r>
              <w:rPr>
                <w:sz w:val="17"/>
              </w:rPr>
              <w:t>56 naive young-adult cynomolgus, both sexes, plus acclimation and sensory-testing training time</w:t>
            </w:r>
          </w:p>
        </w:tc>
        <w:tc>
          <w:tcPr>
            <w:tcW w:type="dxa" w:w="4320"/>
          </w:tcPr>
          <w:p>
            <w:pPr>
              <w:spacing w:after="40" w:before="40"/>
            </w:pPr>
            <w:r/>
            <w:r>
              <w:rPr>
                <w:sz w:val="17"/>
              </w:rPr>
              <w:t>NHP sourcing and quarantine typically dominate study start-up. Book before the response commits to a date.</w:t>
            </w:r>
          </w:p>
        </w:tc>
      </w:tr>
      <w:tr>
        <w:tc>
          <w:tcPr>
            <w:tcW w:type="dxa" w:w="1656"/>
          </w:tcPr>
          <w:p>
            <w:pPr>
              <w:spacing w:after="40" w:before="40"/>
            </w:pPr>
            <w:r/>
            <w:r>
              <w:rPr>
                <w:sz w:val="17"/>
              </w:rPr>
              <w:t>Bioanalytical validation</w:t>
            </w:r>
          </w:p>
        </w:tc>
        <w:tc>
          <w:tcPr>
            <w:tcW w:type="dxa" w:w="4104"/>
          </w:tcPr>
          <w:p>
            <w:pPr>
              <w:spacing w:after="40" w:before="40"/>
            </w:pPr>
            <w:r/>
            <w:r>
              <w:rPr>
                <w:sz w:val="17"/>
              </w:rPr>
              <w:t>Cynomolgus CSF, plasma and tissue PNA-AEX-HPLC validation; cynomolgus CSF PrP ELISA qualification</w:t>
            </w:r>
          </w:p>
        </w:tc>
        <w:tc>
          <w:tcPr>
            <w:tcW w:type="dxa" w:w="4320"/>
          </w:tcPr>
          <w:p>
            <w:pPr>
              <w:spacing w:after="40" w:before="40"/>
            </w:pPr>
            <w:r/>
            <w:r>
              <w:rPr>
                <w:sz w:val="17"/>
              </w:rPr>
              <w:t>Must complete before first dose; runs in parallel with sourcing</w:t>
            </w:r>
          </w:p>
        </w:tc>
      </w:tr>
      <w:tr>
        <w:tc>
          <w:tcPr>
            <w:tcW w:type="dxa" w:w="1656"/>
          </w:tcPr>
          <w:p>
            <w:pPr>
              <w:spacing w:after="40" w:before="40"/>
            </w:pPr>
            <w:r/>
            <w:r>
              <w:rPr>
                <w:sz w:val="17"/>
              </w:rPr>
              <w:t>Formulation qualification</w:t>
            </w:r>
          </w:p>
        </w:tc>
        <w:tc>
          <w:tcPr>
            <w:tcW w:type="dxa" w:w="4104"/>
          </w:tcPr>
          <w:p>
            <w:pPr>
              <w:spacing w:after="40" w:before="40"/>
            </w:pPr>
            <w:r/>
            <w:r>
              <w:rPr>
                <w:sz w:val="17"/>
              </w:rPr>
              <w:t>Demonstrate 20.0, 66.7 and 100.0 mg/mL can be released within ±10% with homogeneity and stability data</w:t>
            </w:r>
          </w:p>
        </w:tc>
        <w:tc>
          <w:tcPr>
            <w:tcW w:type="dxa" w:w="4320"/>
          </w:tcPr>
          <w:p>
            <w:pPr>
              <w:spacing w:after="40" w:before="40"/>
            </w:pPr>
            <w:r/>
            <w:r>
              <w:rPr>
                <w:sz w:val="17"/>
              </w:rPr>
              <w:t>If 100.0 mg/mL fails, invoke the Section 7.3 fallback</w:t>
            </w:r>
          </w:p>
        </w:tc>
      </w:tr>
      <w:tr>
        <w:tc>
          <w:tcPr>
            <w:tcW w:type="dxa" w:w="1656"/>
          </w:tcPr>
          <w:p>
            <w:pPr>
              <w:spacing w:after="40" w:before="40"/>
            </w:pPr>
            <w:r/>
            <w:r>
              <w:rPr>
                <w:sz w:val="17"/>
              </w:rPr>
              <w:t>GLP scope</w:t>
            </w:r>
          </w:p>
        </w:tc>
        <w:tc>
          <w:tcPr>
            <w:tcW w:type="dxa" w:w="4104"/>
          </w:tcPr>
          <w:p>
            <w:pPr>
              <w:spacing w:after="40" w:before="40"/>
            </w:pPr>
            <w:r/>
            <w:r>
              <w:rPr>
                <w:sz w:val="17"/>
              </w:rPr>
              <w:t>No exceptions for test-article characterization, control-article homogeneity or stability, formulation stability, or solid-tissue bioanalysis</w:t>
            </w:r>
          </w:p>
        </w:tc>
        <w:tc>
          <w:tcPr>
            <w:tcW w:type="dxa" w:w="4320"/>
          </w:tcPr>
          <w:p>
            <w:pPr>
              <w:spacing w:after="40" w:before="40"/>
            </w:pPr>
            <w:r/>
            <w:r>
              <w:rPr>
                <w:sz w:val="17"/>
              </w:rPr>
              <w:t>All four were exceptions in A-703-01. Closing them is a stated commitment in the response.</w:t>
            </w:r>
          </w:p>
        </w:tc>
      </w:tr>
      <w:tr>
        <w:tc>
          <w:tcPr>
            <w:tcW w:type="dxa" w:w="1656"/>
          </w:tcPr>
          <w:p>
            <w:pPr>
              <w:spacing w:after="40" w:before="40"/>
            </w:pPr>
            <w:r/>
            <w:r>
              <w:rPr>
                <w:sz w:val="17"/>
              </w:rPr>
              <w:t>Schedule commitment</w:t>
            </w:r>
          </w:p>
        </w:tc>
        <w:tc>
          <w:tcPr>
            <w:tcW w:type="dxa" w:w="4104"/>
          </w:tcPr>
          <w:p>
            <w:pPr>
              <w:spacing w:after="40" w:before="40"/>
            </w:pPr>
            <w:r/>
            <w:r>
              <w:rPr>
                <w:sz w:val="17"/>
              </w:rPr>
              <w:t>Do not commit a completion date in the response until facility capacity and NHP availability are confirmed in writing. Commit to the protocol and to a date for protocol submission.</w:t>
            </w:r>
          </w:p>
        </w:tc>
        <w:tc>
          <w:tcPr>
            <w:tcW w:type="dxa" w:w="4320"/>
          </w:tcPr>
          <w:p>
            <w:pPr>
              <w:spacing w:after="40" w:before="40"/>
            </w:pPr>
            <w:r/>
            <w:r>
              <w:rPr>
                <w:sz w:val="17"/>
              </w:rPr>
              <w:t>A missed date in a hold response is worse than no date</w:t>
            </w:r>
          </w:p>
        </w:tc>
      </w:tr>
    </w:tbl>
    <w:p/>
    <w:p>
      <w:pPr>
        <w:pStyle w:val="Heading2"/>
      </w:pPr>
      <w:r>
        <w:t>7.9 How the study answers the letter, clause by clause</w:t>
      </w:r>
    </w:p>
    <w:tbl>
      <w:tblPr>
        <w:tblStyle w:val="TableGrid"/>
        <w:tblW w:type="auto" w:w="0"/>
        <w:jc w:val="center"/>
        <w:tblLook w:firstColumn="1" w:firstRow="1" w:lastColumn="0" w:lastRow="0" w:noHBand="0" w:noVBand="1" w:val="04A0"/>
      </w:tblPr>
      <w:tblGrid>
        <w:gridCol w:w="4896"/>
        <w:gridCol w:w="4896"/>
      </w:tblGrid>
      <w:tr>
        <w:tc>
          <w:tcPr>
            <w:tcW w:type="dxa" w:w="3744"/>
          </w:tcPr>
          <w:p>
            <w:pPr>
              <w:spacing w:after="40" w:before="40"/>
            </w:pPr>
            <w:r/>
            <w:r>
              <w:rPr>
                <w:b/>
                <w:sz w:val="17"/>
              </w:rPr>
              <w:t>Clause in the letter</w:t>
            </w:r>
          </w:p>
        </w:tc>
        <w:tc>
          <w:tcPr>
            <w:tcW w:type="dxa" w:w="6336"/>
          </w:tcPr>
          <w:p>
            <w:pPr>
              <w:spacing w:after="40" w:before="40"/>
            </w:pPr>
            <w:r/>
            <w:r>
              <w:rPr>
                <w:b/>
                <w:sz w:val="17"/>
              </w:rPr>
              <w:t>Feature of the specification that answers it</w:t>
            </w:r>
          </w:p>
        </w:tc>
      </w:tr>
      <w:tr>
        <w:tc>
          <w:tcPr>
            <w:tcW w:type="dxa" w:w="3744"/>
          </w:tcPr>
          <w:p>
            <w:pPr>
              <w:spacing w:after="40" w:before="40"/>
            </w:pPr>
            <w:r/>
            <w:r>
              <w:rPr>
                <w:sz w:val="17"/>
              </w:rPr>
              <w:t>"not pharmacologically active in the animal species (rat, dog) used for toxicity testing"</w:t>
            </w:r>
          </w:p>
        </w:tc>
        <w:tc>
          <w:tcPr>
            <w:tcW w:type="dxa" w:w="6336"/>
          </w:tcPr>
          <w:p>
            <w:pPr>
              <w:spacing w:after="40" w:before="40"/>
            </w:pPr>
            <w:r/>
            <w:r>
              <w:rPr>
                <w:sz w:val="17"/>
              </w:rPr>
              <w:t>Cynomolgus, perfectly matched at bases 2–17, with per-animal PRNP target-region sequencing in the report (7.1)</w:t>
            </w:r>
          </w:p>
        </w:tc>
      </w:tr>
      <w:tr>
        <w:tc>
          <w:tcPr>
            <w:tcW w:type="dxa" w:w="3744"/>
          </w:tcPr>
          <w:p>
            <w:pPr>
              <w:spacing w:after="40" w:before="40"/>
            </w:pPr>
            <w:r/>
            <w:r>
              <w:rPr>
                <w:sz w:val="17"/>
              </w:rPr>
              <w:t>"on-target effects were not assessed"</w:t>
            </w:r>
          </w:p>
        </w:tc>
        <w:tc>
          <w:tcPr>
            <w:tcW w:type="dxa" w:w="6336"/>
          </w:tcPr>
          <w:p>
            <w:pPr>
              <w:spacing w:after="40" w:before="40"/>
            </w:pPr>
            <w:r/>
            <w:r>
              <w:rPr>
                <w:sz w:val="17"/>
              </w:rPr>
              <w:t>CSF PrP across eight occasions plus regional PRNP mRNA, regional PrP and paired regional drug concentration at two necropsies, with a pre-specified target-engagement acceptance criterion (7.3, 7.6)</w:t>
            </w:r>
          </w:p>
        </w:tc>
      </w:tr>
      <w:tr>
        <w:tc>
          <w:tcPr>
            <w:tcW w:type="dxa" w:w="3744"/>
          </w:tcPr>
          <w:p>
            <w:pPr>
              <w:spacing w:after="40" w:before="40"/>
            </w:pPr>
            <w:r/>
            <w:r>
              <w:rPr>
                <w:sz w:val="17"/>
              </w:rPr>
              <w:t>"adverse effects on neurobehavioral function (Wulf et al. 2017)"</w:t>
            </w:r>
          </w:p>
        </w:tc>
        <w:tc>
          <w:tcPr>
            <w:tcW w:type="dxa" w:w="6336"/>
          </w:tcPr>
          <w:p>
            <w:pPr>
              <w:spacing w:after="40" w:before="40"/>
            </w:pPr>
            <w:r/>
            <w:r>
              <w:rPr>
                <w:sz w:val="17"/>
              </w:rPr>
              <w:t>Veterinary neurologic examination at nine timepoints in all animals, extended observational battery, quantitative sensory testing, grip strength, quantitative motor activity, evoked potentials, and retained CNS/CV/respiratory safety pharmacology (7.6)</w:t>
            </w:r>
          </w:p>
        </w:tc>
      </w:tr>
      <w:tr>
        <w:tc>
          <w:tcPr>
            <w:tcW w:type="dxa" w:w="3744"/>
          </w:tcPr>
          <w:p>
            <w:pPr>
              <w:spacing w:after="40" w:before="40"/>
            </w:pPr>
            <w:r/>
            <w:r>
              <w:rPr>
                <w:sz w:val="17"/>
              </w:rPr>
              <w:t>The peripheral-myelin hazard the cited literature actually predicts (Bremer 2010; Skedsmo 2019)</w:t>
            </w:r>
          </w:p>
        </w:tc>
        <w:tc>
          <w:tcPr>
            <w:tcW w:type="dxa" w:w="6336"/>
          </w:tcPr>
          <w:p>
            <w:pPr>
              <w:spacing w:after="40" w:before="40"/>
            </w:pPr>
            <w:r/>
            <w:r>
              <w:rPr>
                <w:sz w:val="17"/>
              </w:rPr>
              <w:t>Motor and sensory nerve conduction with F-wave latency; DRG, roots and four peripheral nerves; teased fibers, myelin morphometry and electron microscopy (7.6)</w:t>
            </w:r>
          </w:p>
        </w:tc>
      </w:tr>
      <w:tr>
        <w:tc>
          <w:tcPr>
            <w:tcW w:type="dxa" w:w="3744"/>
          </w:tcPr>
          <w:p>
            <w:pPr>
              <w:spacing w:after="40" w:before="40"/>
            </w:pPr>
            <w:r/>
            <w:r>
              <w:rPr>
                <w:sz w:val="17"/>
              </w:rPr>
              <w:t>"GLP-compliant"</w:t>
            </w:r>
          </w:p>
        </w:tc>
        <w:tc>
          <w:tcPr>
            <w:tcW w:type="dxa" w:w="6336"/>
          </w:tcPr>
          <w:p>
            <w:pPr>
              <w:spacing w:after="40" w:before="40"/>
            </w:pPr>
            <w:r/>
            <w:r>
              <w:rPr>
                <w:sz w:val="17"/>
              </w:rPr>
              <w:t>Full Part 58 scope with the four A-703-01 exceptions closed and ±10% formulation acceptance enforced before dosing (7.2, 7.8)</w:t>
            </w:r>
          </w:p>
        </w:tc>
      </w:tr>
      <w:tr>
        <w:tc>
          <w:tcPr>
            <w:tcW w:type="dxa" w:w="3744"/>
          </w:tcPr>
          <w:p>
            <w:pPr>
              <w:spacing w:after="40" w:before="40"/>
            </w:pPr>
            <w:r/>
            <w:r>
              <w:rPr>
                <w:sz w:val="17"/>
              </w:rPr>
              <w:t>"duration similar to or greater than that proposed for humans"</w:t>
            </w:r>
          </w:p>
        </w:tc>
        <w:tc>
          <w:tcPr>
            <w:tcW w:type="dxa" w:w="6336"/>
          </w:tcPr>
          <w:p>
            <w:pPr>
              <w:spacing w:after="40" w:before="40"/>
            </w:pPr>
            <w:r/>
            <w:r>
              <w:rPr>
                <w:sz w:val="17"/>
              </w:rPr>
              <w:t>182 days of dosing and 183 days in life, versus the 168-day clinical monitoring period, covering two intended ~90-day clinical dosing intervals, plus a 92-day recovery cohort (7.4)</w:t>
            </w:r>
          </w:p>
        </w:tc>
      </w:tr>
    </w:tbl>
    <w:p/>
    <w:p>
      <w:pPr>
        <w:pStyle w:val="Heading2"/>
      </w:pPr>
      <w:r>
        <w:t>7.10 The two inputs that must be generated before the protocol is final</w:t>
      </w:r>
    </w:p>
    <w:p>
      <w:r>
        <w:rPr>
          <w:b/>
        </w:rPr>
        <w:t xml:space="preserve">1. Cynomolgus CSF volume. </w:t>
      </w:r>
      <w:r>
        <w:rPr>
          <w:b w:val="0"/>
        </w:rPr>
        <w:t>No cynomolgus CSF volume, and no cynomolgus entry in the Emami-derived scaling table, exists anywhere on the desk. Therefore no CSF-volume-scaled cynomolgus margin may be stated today, and none appears in this audit. What can be stated, bounded and defensible: if cynomolgus CSF volume is no greater than the dog value of 16 mL used in Table 2, then the high-dose CSF concentration is at least 100 mg / 16 mL = 6.25 mg/mL, which is at least 4.1-fold the human concentration at 200 mg (1.538 mg/mL) and at least 16-fold the human concentration at 50 mg (0.385 mg/mL). Retrieve the cynomolgus value from the Emami reference and replace the bound with the computed margin before the protocol is finalized. Until then, present the injection-site margins of Section 7.3, which need no CSF volume at all.</w:t>
      </w:r>
    </w:p>
    <w:p>
      <w:r>
        <w:rPr>
          <w:b/>
        </w:rPr>
        <w:t xml:space="preserve">2. Cynomolgus off-target table. </w:t>
      </w:r>
      <w:r>
        <w:rPr>
          <w:b w:val="0"/>
        </w:rPr>
        <w:t>Per Section 7.7. Without it, any finding in the pivotal species can be challenged as unattributable between on-target and off-target hybridization.</w:t>
      </w:r>
    </w:p>
    <w:p>
      <w:pPr>
        <w:pStyle w:val="Heading1"/>
      </w:pPr>
      <w:r>
        <w:t>8. The numbers Nonclinical will stand behind</w:t>
      </w:r>
    </w:p>
    <w:p>
      <w:r>
        <w:rPr>
          <w:b w:val="0"/>
          <w:i w:val="0"/>
        </w:rPr>
        <w:t>This is the closing list. Everything here has been recomputed from a primary record cited in this audit, and each entry carries the qualifier that must travel with it. Nothing else should appear as a margin in the response.</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1944"/>
          </w:tcPr>
          <w:p>
            <w:pPr>
              <w:spacing w:after="40" w:before="40"/>
            </w:pPr>
            <w:r/>
            <w:r>
              <w:rPr>
                <w:b/>
                <w:sz w:val="16"/>
              </w:rPr>
              <w:t>Number</w:t>
            </w:r>
          </w:p>
        </w:tc>
        <w:tc>
          <w:tcPr>
            <w:tcW w:type="dxa" w:w="2664"/>
          </w:tcPr>
          <w:p>
            <w:pPr>
              <w:spacing w:after="40" w:before="40"/>
            </w:pPr>
            <w:r/>
            <w:r>
              <w:rPr>
                <w:b/>
                <w:sz w:val="16"/>
              </w:rPr>
              <w:t>Exact meaning</w:t>
            </w:r>
          </w:p>
        </w:tc>
        <w:tc>
          <w:tcPr>
            <w:tcW w:type="dxa" w:w="2520"/>
          </w:tcPr>
          <w:p>
            <w:pPr>
              <w:spacing w:after="40" w:before="40"/>
            </w:pPr>
            <w:r/>
            <w:r>
              <w:rPr>
                <w:b/>
                <w:sz w:val="16"/>
              </w:rPr>
              <w:t>Primary record</w:t>
            </w:r>
          </w:p>
        </w:tc>
        <w:tc>
          <w:tcPr>
            <w:tcW w:type="dxa" w:w="2952"/>
          </w:tcPr>
          <w:p>
            <w:pPr>
              <w:spacing w:after="40" w:before="40"/>
            </w:pPr>
            <w:r/>
            <w:r>
              <w:rPr>
                <w:b/>
                <w:sz w:val="16"/>
              </w:rPr>
              <w:t>Mandatory qualifier</w:t>
            </w:r>
          </w:p>
        </w:tc>
      </w:tr>
      <w:tr>
        <w:tc>
          <w:tcPr>
            <w:tcW w:type="dxa" w:w="1944"/>
          </w:tcPr>
          <w:p>
            <w:pPr>
              <w:spacing w:after="40" w:before="40"/>
            </w:pPr>
            <w:r/>
            <w:r>
              <w:rPr>
                <w:sz w:val="16"/>
              </w:rPr>
              <w:t>26.7×</w:t>
            </w:r>
          </w:p>
        </w:tc>
        <w:tc>
          <w:tcPr>
            <w:tcW w:type="dxa" w:w="2664"/>
          </w:tcPr>
          <w:p>
            <w:pPr>
              <w:spacing w:after="40" w:before="40"/>
            </w:pPr>
            <w:r/>
            <w:r>
              <w:rPr>
                <w:sz w:val="16"/>
              </w:rPr>
              <w:t>Ratio of the dog injection-site concentration at the NOAEL (66.7 mg/mL) to the human injection-site concentration at the 50 mg starting dose (2.5 mg/mL)</w:t>
            </w:r>
          </w:p>
        </w:tc>
        <w:tc>
          <w:tcPr>
            <w:tcW w:type="dxa" w:w="2520"/>
          </w:tcPr>
          <w:p>
            <w:pPr>
              <w:spacing w:after="40" w:before="40"/>
            </w:pPr>
            <w:r/>
            <w:r>
              <w:rPr>
                <w:sz w:val="16"/>
              </w:rPr>
              <w:t>A-703-02 §7.1 (verified within ±10%); clinical protocol dilution to 20 mL</w:t>
            </w:r>
          </w:p>
        </w:tc>
        <w:tc>
          <w:tcPr>
            <w:tcW w:type="dxa" w:w="2952"/>
          </w:tcPr>
          <w:p>
            <w:pPr>
              <w:spacing w:after="40" w:before="40"/>
            </w:pPr>
            <w:r/>
            <w:r>
              <w:rPr>
                <w:sz w:val="16"/>
              </w:rPr>
              <w:t>Non-hybridization margin; species not pharmacologically responsive</w:t>
            </w:r>
          </w:p>
        </w:tc>
      </w:tr>
      <w:tr>
        <w:tc>
          <w:tcPr>
            <w:tcW w:type="dxa" w:w="1944"/>
          </w:tcPr>
          <w:p>
            <w:pPr>
              <w:spacing w:after="40" w:before="40"/>
            </w:pPr>
            <w:r/>
            <w:r>
              <w:rPr>
                <w:sz w:val="16"/>
              </w:rPr>
              <w:t>6.7×</w:t>
            </w:r>
          </w:p>
        </w:tc>
        <w:tc>
          <w:tcPr>
            <w:tcW w:type="dxa" w:w="2664"/>
          </w:tcPr>
          <w:p>
            <w:pPr>
              <w:spacing w:after="40" w:before="40"/>
            </w:pPr>
            <w:r/>
            <w:r>
              <w:rPr>
                <w:sz w:val="16"/>
              </w:rPr>
              <w:t>Same ratio against the 200 mg maximum dose (10.0 mg/mL)</w:t>
            </w:r>
          </w:p>
        </w:tc>
        <w:tc>
          <w:tcPr>
            <w:tcW w:type="dxa" w:w="2520"/>
          </w:tcPr>
          <w:p>
            <w:pPr>
              <w:spacing w:after="40" w:before="40"/>
            </w:pPr>
            <w:r/>
            <w:r>
              <w:rPr>
                <w:sz w:val="16"/>
              </w:rPr>
              <w:t>As above</w:t>
            </w:r>
          </w:p>
        </w:tc>
        <w:tc>
          <w:tcPr>
            <w:tcW w:type="dxa" w:w="2952"/>
          </w:tcPr>
          <w:p>
            <w:pPr>
              <w:spacing w:after="40" w:before="40"/>
            </w:pPr>
            <w:r/>
            <w:r>
              <w:rPr>
                <w:sz w:val="16"/>
              </w:rPr>
              <w:t>As above; this is the minimum of the four margin columns and the correct figure to lead with</w:t>
            </w:r>
          </w:p>
        </w:tc>
      </w:tr>
      <w:tr>
        <w:tc>
          <w:tcPr>
            <w:tcW w:type="dxa" w:w="1944"/>
          </w:tcPr>
          <w:p>
            <w:pPr>
              <w:spacing w:after="40" w:before="40"/>
            </w:pPr>
            <w:r/>
            <w:r>
              <w:rPr>
                <w:sz w:val="16"/>
              </w:rPr>
              <w:t>32.5× / 8.1×</w:t>
            </w:r>
          </w:p>
        </w:tc>
        <w:tc>
          <w:tcPr>
            <w:tcW w:type="dxa" w:w="2664"/>
          </w:tcPr>
          <w:p>
            <w:pPr>
              <w:spacing w:after="40" w:before="40"/>
            </w:pPr>
            <w:r/>
            <w:r>
              <w:rPr>
                <w:sz w:val="16"/>
              </w:rPr>
              <w:t>Dog CSF concentration at the NOAEL (12.5 mg/mL) versus human at 50 / 200 mg</w:t>
            </w:r>
          </w:p>
        </w:tc>
        <w:tc>
          <w:tcPr>
            <w:tcW w:type="dxa" w:w="2520"/>
          </w:tcPr>
          <w:p>
            <w:pPr>
              <w:spacing w:after="40" w:before="40"/>
            </w:pPr>
            <w:r/>
            <w:r>
              <w:rPr>
                <w:sz w:val="16"/>
              </w:rPr>
              <w:t>A-703-02; CSF volumes 16 and 130 mL from Emami et al.</w:t>
            </w:r>
          </w:p>
        </w:tc>
        <w:tc>
          <w:tcPr>
            <w:tcW w:type="dxa" w:w="2952"/>
          </w:tcPr>
          <w:p>
            <w:pPr>
              <w:spacing w:after="40" w:before="40"/>
            </w:pPr>
            <w:r/>
            <w:r>
              <w:rPr>
                <w:sz w:val="16"/>
              </w:rPr>
              <w:t>Non-hybridization; CSF volumes are literature-derived scaling, not measured in study</w:t>
            </w:r>
          </w:p>
        </w:tc>
      </w:tr>
      <w:tr>
        <w:tc>
          <w:tcPr>
            <w:tcW w:type="dxa" w:w="1944"/>
          </w:tcPr>
          <w:p>
            <w:pPr>
              <w:spacing w:after="40" w:before="40"/>
            </w:pPr>
            <w:r/>
            <w:r>
              <w:rPr>
                <w:sz w:val="16"/>
              </w:rPr>
              <w:t>40.0× / 10.0×</w:t>
            </w:r>
          </w:p>
        </w:tc>
        <w:tc>
          <w:tcPr>
            <w:tcW w:type="dxa" w:w="2664"/>
          </w:tcPr>
          <w:p>
            <w:pPr>
              <w:spacing w:after="40" w:before="40"/>
            </w:pPr>
            <w:r/>
            <w:r>
              <w:rPr>
                <w:sz w:val="16"/>
              </w:rPr>
              <w:t>Rat injection-site concentration at the NOAEL (100.0 mg/mL nominal) versus human at 50 / 200 mg</w:t>
            </w:r>
          </w:p>
        </w:tc>
        <w:tc>
          <w:tcPr>
            <w:tcW w:type="dxa" w:w="2520"/>
          </w:tcPr>
          <w:p>
            <w:pPr>
              <w:spacing w:after="40" w:before="40"/>
            </w:pPr>
            <w:r/>
            <w:r>
              <w:rPr>
                <w:sz w:val="16"/>
              </w:rPr>
              <w:t>A-703-01 §7.1 Table 13</w:t>
            </w:r>
          </w:p>
        </w:tc>
        <w:tc>
          <w:tcPr>
            <w:tcW w:type="dxa" w:w="2952"/>
          </w:tcPr>
          <w:p>
            <w:pPr>
              <w:spacing w:after="40" w:before="40"/>
            </w:pPr>
            <w:r/>
            <w:r>
              <w:rPr>
                <w:sz w:val="16"/>
              </w:rPr>
              <w:t>Non-hybridization; nominal concentration — analyzed at 116.40 mg/mL, outside ±10%; delivered dose 3.49 mg not 3.0 mg</w:t>
            </w:r>
          </w:p>
        </w:tc>
      </w:tr>
      <w:tr>
        <w:tc>
          <w:tcPr>
            <w:tcW w:type="dxa" w:w="1944"/>
          </w:tcPr>
          <w:p>
            <w:pPr>
              <w:spacing w:after="40" w:before="40"/>
            </w:pPr>
            <w:r/>
            <w:r>
              <w:rPr>
                <w:sz w:val="16"/>
              </w:rPr>
              <w:t>31.2× / 7.8×</w:t>
            </w:r>
          </w:p>
        </w:tc>
        <w:tc>
          <w:tcPr>
            <w:tcW w:type="dxa" w:w="2664"/>
          </w:tcPr>
          <w:p>
            <w:pPr>
              <w:spacing w:after="40" w:before="40"/>
            </w:pPr>
            <w:r/>
            <w:r>
              <w:rPr>
                <w:sz w:val="16"/>
              </w:rPr>
              <w:t>Rat CSF concentration at the NOAEL (12.0 mg/mL nominal) versus human at 50 / 200 mg</w:t>
            </w:r>
          </w:p>
        </w:tc>
        <w:tc>
          <w:tcPr>
            <w:tcW w:type="dxa" w:w="2520"/>
          </w:tcPr>
          <w:p>
            <w:pPr>
              <w:spacing w:after="40" w:before="40"/>
            </w:pPr>
            <w:r/>
            <w:r>
              <w:rPr>
                <w:sz w:val="16"/>
              </w:rPr>
              <w:t>As above</w:t>
            </w:r>
          </w:p>
        </w:tc>
        <w:tc>
          <w:tcPr>
            <w:tcW w:type="dxa" w:w="2952"/>
          </w:tcPr>
          <w:p>
            <w:pPr>
              <w:spacing w:after="40" w:before="40"/>
            </w:pPr>
            <w:r/>
            <w:r>
              <w:rPr>
                <w:sz w:val="16"/>
              </w:rPr>
              <w:t>Both qualifiers above</w:t>
            </w:r>
          </w:p>
        </w:tc>
      </w:tr>
      <w:tr>
        <w:tc>
          <w:tcPr>
            <w:tcW w:type="dxa" w:w="1944"/>
          </w:tcPr>
          <w:p>
            <w:pPr>
              <w:spacing w:after="40" w:before="40"/>
            </w:pPr>
            <w:r/>
            <w:r>
              <w:rPr>
                <w:sz w:val="16"/>
              </w:rPr>
              <w:t>NOAEL 200 mg (dog)</w:t>
            </w:r>
          </w:p>
        </w:tc>
        <w:tc>
          <w:tcPr>
            <w:tcW w:type="dxa" w:w="2664"/>
          </w:tcPr>
          <w:p>
            <w:pPr>
              <w:spacing w:after="40" w:before="40"/>
            </w:pPr>
            <w:r/>
            <w:r>
              <w:rPr>
                <w:sz w:val="16"/>
              </w:rPr>
              <w:t>No adverse findings; microscopic gliosis at 60 and 200 mg not adverse, absent in recovery animals, and in one animal (404) associated with injection-site focal necrosis and possibly independent of test article</w:t>
            </w:r>
          </w:p>
        </w:tc>
        <w:tc>
          <w:tcPr>
            <w:tcW w:type="dxa" w:w="2520"/>
          </w:tcPr>
          <w:p>
            <w:pPr>
              <w:spacing w:after="40" w:before="40"/>
            </w:pPr>
            <w:r/>
            <w:r>
              <w:rPr>
                <w:sz w:val="16"/>
              </w:rPr>
              <w:t>A-703-02</w:t>
            </w:r>
          </w:p>
        </w:tc>
        <w:tc>
          <w:tcPr>
            <w:tcW w:type="dxa" w:w="2952"/>
          </w:tcPr>
          <w:p>
            <w:pPr>
              <w:spacing w:after="40" w:before="40"/>
            </w:pPr>
            <w:r/>
            <w:r>
              <w:rPr>
                <w:sz w:val="16"/>
              </w:rPr>
              <w:t>Non-hybridization NOAEL only</w:t>
            </w:r>
          </w:p>
        </w:tc>
      </w:tr>
      <w:tr>
        <w:tc>
          <w:tcPr>
            <w:tcW w:type="dxa" w:w="1944"/>
          </w:tcPr>
          <w:p>
            <w:pPr>
              <w:spacing w:after="40" w:before="40"/>
            </w:pPr>
            <w:r/>
            <w:r>
              <w:rPr>
                <w:sz w:val="16"/>
              </w:rPr>
              <w:t>NOAEL 3.0 mg nominal / 3.49 mg analyzed (rat)</w:t>
            </w:r>
          </w:p>
        </w:tc>
        <w:tc>
          <w:tcPr>
            <w:tcW w:type="dxa" w:w="2664"/>
          </w:tcPr>
          <w:p>
            <w:pPr>
              <w:spacing w:after="40" w:before="40"/>
            </w:pPr>
            <w:r/>
            <w:r>
              <w:rPr>
                <w:sz w:val="16"/>
              </w:rPr>
              <w:t>No adverse findings</w:t>
            </w:r>
          </w:p>
        </w:tc>
        <w:tc>
          <w:tcPr>
            <w:tcW w:type="dxa" w:w="2520"/>
          </w:tcPr>
          <w:p>
            <w:pPr>
              <w:spacing w:after="40" w:before="40"/>
            </w:pPr>
            <w:r/>
            <w:r>
              <w:rPr>
                <w:sz w:val="16"/>
              </w:rPr>
              <w:t>A-703-01</w:t>
            </w:r>
          </w:p>
        </w:tc>
        <w:tc>
          <w:tcPr>
            <w:tcW w:type="dxa" w:w="2952"/>
          </w:tcPr>
          <w:p>
            <w:pPr>
              <w:spacing w:after="40" w:before="40"/>
            </w:pPr>
            <w:r/>
            <w:r>
              <w:rPr>
                <w:sz w:val="16"/>
              </w:rPr>
              <w:t>Report both values; disclose the out-of-specification formulation</w:t>
            </w:r>
          </w:p>
        </w:tc>
      </w:tr>
      <w:tr>
        <w:tc>
          <w:tcPr>
            <w:tcW w:type="dxa" w:w="1944"/>
          </w:tcPr>
          <w:p>
            <w:pPr>
              <w:spacing w:after="40" w:before="40"/>
            </w:pPr>
            <w:r/>
            <w:r>
              <w:rPr>
                <w:sz w:val="16"/>
              </w:rPr>
              <w:t>~1,000 ng/g brain ≈ 50% PRNP mRNA lowering</w:t>
            </w:r>
          </w:p>
        </w:tc>
        <w:tc>
          <w:tcPr>
            <w:tcW w:type="dxa" w:w="2664"/>
          </w:tcPr>
          <w:p>
            <w:pPr>
              <w:spacing w:after="40" w:before="40"/>
            </w:pPr>
            <w:r/>
            <w:r>
              <w:rPr>
                <w:sz w:val="16"/>
              </w:rPr>
              <w:t>Exposure–response anchor from paired per-animal PK and qPCR</w:t>
            </w:r>
          </w:p>
        </w:tc>
        <w:tc>
          <w:tcPr>
            <w:tcW w:type="dxa" w:w="2520"/>
          </w:tcPr>
          <w:p>
            <w:pPr>
              <w:spacing w:after="40" w:before="40"/>
            </w:pPr>
            <w:r/>
            <w:r>
              <w:rPr>
                <w:sz w:val="16"/>
              </w:rPr>
              <w:t>CMR-2521 (studysheets.tsv, pk.tsv, qpcr.tsv; 43 of 48 animals paired)</w:t>
            </w:r>
          </w:p>
        </w:tc>
        <w:tc>
          <w:tcPr>
            <w:tcW w:type="dxa" w:w="2952"/>
          </w:tcPr>
          <w:p>
            <w:pPr>
              <w:spacing w:after="40" w:before="40"/>
            </w:pPr>
            <w:r/>
            <w:r>
              <w:rPr>
                <w:sz w:val="16"/>
              </w:rPr>
              <w:t>Non-GLP; humanized mouse; whole-hemisphere homogenate; chemistry recorded as 2439-loPS-exNA and to be confirmed against the study report. Use for dose-setting, not as a margin.</w:t>
            </w:r>
          </w:p>
        </w:tc>
      </w:tr>
      <w:tr>
        <w:tc>
          <w:tcPr>
            <w:tcW w:type="dxa" w:w="1944"/>
          </w:tcPr>
          <w:p>
            <w:pPr>
              <w:spacing w:after="40" w:before="40"/>
            </w:pPr>
            <w:r/>
            <w:r>
              <w:rPr>
                <w:sz w:val="16"/>
              </w:rPr>
              <w:t>Residual PrP 29.5% (174 µg) and 28.3% (348 µg, screening cohort); 17% at day 34 (348 µg, durability cohort)</w:t>
            </w:r>
          </w:p>
        </w:tc>
        <w:tc>
          <w:tcPr>
            <w:tcW w:type="dxa" w:w="2664"/>
          </w:tcPr>
          <w:p>
            <w:pPr>
              <w:spacing w:after="40" w:before="40"/>
            </w:pPr>
            <w:r/>
            <w:r>
              <w:rPr>
                <w:sz w:val="16"/>
              </w:rPr>
              <w:t>On-target lowering in humanized mice</w:t>
            </w:r>
          </w:p>
        </w:tc>
        <w:tc>
          <w:tcPr>
            <w:tcW w:type="dxa" w:w="2520"/>
          </w:tcPr>
          <w:p>
            <w:pPr>
              <w:spacing w:after="40" w:before="40"/>
            </w:pPr>
            <w:r/>
            <w:r>
              <w:rPr>
                <w:sz w:val="16"/>
              </w:rPr>
              <w:t>4.2.1.1</w:t>
            </w:r>
          </w:p>
        </w:tc>
        <w:tc>
          <w:tcPr>
            <w:tcW w:type="dxa" w:w="2952"/>
          </w:tcPr>
          <w:p>
            <w:pPr>
              <w:spacing w:after="40" w:before="40"/>
            </w:pPr>
            <w:r/>
            <w:r>
              <w:rPr>
                <w:sz w:val="16"/>
              </w:rPr>
              <w:t>Non-GLP; each value must be quoted with its dose, cohort and day; upward-biased at low residual by ELISA QC behavior</w:t>
            </w:r>
          </w:p>
        </w:tc>
      </w:tr>
      <w:tr>
        <w:tc>
          <w:tcPr>
            <w:tcW w:type="dxa" w:w="1944"/>
          </w:tcPr>
          <w:p>
            <w:pPr>
              <w:spacing w:after="40" w:before="40"/>
            </w:pPr>
            <w:r/>
            <w:r>
              <w:rPr>
                <w:sz w:val="16"/>
              </w:rPr>
              <w:t>2.0× / 6.7× / 10.0× over the 200 mg human concentration (8.0× / 26.7× / 40.0× over 50 mg)</w:t>
            </w:r>
          </w:p>
        </w:tc>
        <w:tc>
          <w:tcPr>
            <w:tcW w:type="dxa" w:w="2664"/>
          </w:tcPr>
          <w:p>
            <w:pPr>
              <w:spacing w:after="40" w:before="40"/>
            </w:pPr>
            <w:r/>
            <w:r>
              <w:rPr>
                <w:sz w:val="16"/>
              </w:rPr>
              <w:t>Prospective injection-site margins of the proposed cynomolgus dose levels</w:t>
            </w:r>
          </w:p>
        </w:tc>
        <w:tc>
          <w:tcPr>
            <w:tcW w:type="dxa" w:w="2520"/>
          </w:tcPr>
          <w:p>
            <w:pPr>
              <w:spacing w:after="40" w:before="40"/>
            </w:pPr>
            <w:r/>
            <w:r>
              <w:rPr>
                <w:sz w:val="16"/>
              </w:rPr>
              <w:t>Section 7.3 arithmetic against A-703-01 and A-703-02 formulation records</w:t>
            </w:r>
          </w:p>
        </w:tc>
        <w:tc>
          <w:tcPr>
            <w:tcW w:type="dxa" w:w="2952"/>
          </w:tcPr>
          <w:p>
            <w:pPr>
              <w:spacing w:after="40" w:before="40"/>
            </w:pPr>
            <w:r/>
            <w:r>
              <w:rPr>
                <w:sz w:val="16"/>
              </w:rPr>
              <w:t>Prospective study design values, not achieved margins. Do not present as existing data.</w:t>
            </w:r>
          </w:p>
        </w:tc>
      </w:tr>
      <w:tr>
        <w:tc>
          <w:tcPr>
            <w:tcW w:type="dxa" w:w="1944"/>
          </w:tcPr>
          <w:p>
            <w:pPr>
              <w:spacing w:after="40" w:before="40"/>
            </w:pPr>
            <w:r/>
            <w:r>
              <w:rPr>
                <w:sz w:val="16"/>
              </w:rPr>
              <w:t>≥ 4.1× (200 mg) and ≥ 16× (50 mg)</w:t>
            </w:r>
          </w:p>
        </w:tc>
        <w:tc>
          <w:tcPr>
            <w:tcW w:type="dxa" w:w="2664"/>
          </w:tcPr>
          <w:p>
            <w:pPr>
              <w:spacing w:after="40" w:before="40"/>
            </w:pPr>
            <w:r/>
            <w:r>
              <w:rPr>
                <w:sz w:val="16"/>
              </w:rPr>
              <w:t>Bounded cynomolgus CSF-concentration margin at the high dose, conditional on cynomolgus CSF volume ≤ 16 mL</w:t>
            </w:r>
          </w:p>
        </w:tc>
        <w:tc>
          <w:tcPr>
            <w:tcW w:type="dxa" w:w="2520"/>
          </w:tcPr>
          <w:p>
            <w:pPr>
              <w:spacing w:after="40" w:before="40"/>
            </w:pPr>
            <w:r/>
            <w:r>
              <w:rPr>
                <w:sz w:val="16"/>
              </w:rPr>
              <w:t>Section 7.10</w:t>
            </w:r>
          </w:p>
        </w:tc>
        <w:tc>
          <w:tcPr>
            <w:tcW w:type="dxa" w:w="2952"/>
          </w:tcPr>
          <w:p>
            <w:pPr>
              <w:spacing w:after="40" w:before="40"/>
            </w:pPr>
            <w:r/>
            <w:r>
              <w:rPr>
                <w:sz w:val="16"/>
              </w:rPr>
              <w:t>Explicitly conditional. Replace with a computed value once the cynomolgus CSF volume is retrieved. Do not state any unconditional cynomolgus margin.</w:t>
            </w:r>
          </w:p>
        </w:tc>
      </w:tr>
    </w:tbl>
    <w:p/>
    <w:p>
      <w:r>
        <w:rPr>
          <w:b w:val="0"/>
          <w:i w:val="0"/>
        </w:rPr>
        <w:t>Withdrawn and not to be restated: any margin attributed to the A-703-03 MTD study as independent support; any margin or statement implying that on-target risk was assessed; the assertion that FDA concurred at a Pre-IND meeting in the use of non-pharmacologically-responsive species; the attribution of a functional observational battery to the rat study; and any cynomolgus margin stated unconditionally.</w:t>
      </w:r>
    </w:p>
    <w:p>
      <w:pPr>
        <w:pStyle w:val="Heading1"/>
      </w:pPr>
      <w:r>
        <w:t>9. Material assumptions and limitations of this audit</w:t>
      </w:r>
    </w:p>
    <w:p>
      <w:pPr>
        <w:pStyle w:val="ListBullet"/>
      </w:pPr>
      <w:r>
        <w:t>CSF volumes of 0.25 mL (rat), 16 mL (dog) and 130 mL (human) are taken as carried in the dossier from Emami et al. (2018/2023). The primary reference is not on the desk; the values were not independently verified, and every CSF-scaled margin inherits that dependency.</w:t>
      </w:r>
    </w:p>
    <w:p>
      <w:pPr>
        <w:pStyle w:val="ListBullet"/>
      </w:pPr>
      <w:r>
        <w:t>The chemistry designation in the analytic PK and qPCR files is 2439-loPS-exNA. It is treated as the 2439-exNA configuration, consistent with the four antisense phosphorothioate linkages specified in 3.2.S.1.2. Confirm against the CMR-2521 study report before quoting the exposure–response anchor externally.</w:t>
      </w:r>
    </w:p>
    <w:p>
      <w:pPr>
        <w:pStyle w:val="ListBullet"/>
      </w:pPr>
      <w:r>
        <w:t>The pairing of PK to pharmacodynamic data in Section 4.1 is by animal identifier within study CMR-2521 and is direct, not inferential (43 of 48 animals). The five unpaired animals are the day-4/5 harvests.</w:t>
      </w:r>
    </w:p>
    <w:p>
      <w:pPr>
        <w:pStyle w:val="ListBullet"/>
      </w:pPr>
      <w:r>
        <w:t>The rat tissue bioanalytical timepoint is labeled Day 4 in the source file against a Day 2 / Day 29 in-life design. Section 4 reports it as labeled. The discrepancy is unresolved and is flagged for reconciliation (Section 3.4, row 4); it does not affect any margin.</w:t>
      </w:r>
    </w:p>
    <w:p>
      <w:pPr>
        <w:pStyle w:val="ListBullet"/>
      </w:pPr>
      <w:r>
        <w:t>Neurologic endpoint feasibility in cynomolgus — including the 1.0 mL intrathecal bolus volume, nerve conduction under anesthesia and quantitative sensory testing — is specified against standard practice and must be confirmed against the selected facility’s validated methods. Section 7.2 gives the substitution rule for dose volume.</w:t>
      </w:r>
    </w:p>
    <w:p>
      <w:pPr>
        <w:pStyle w:val="ListBullet"/>
      </w:pPr>
      <w:r>
        <w:t>This audit addresses the nonclinical basis of the hold. Clinical, CMC and regulatory-procedural items are noted where they intersect the nonclinical record (notably Section 6.2 on 21 CFR 312.42(e)) and are referred to the responsible functions rather than resolved here.</w:t>
      </w:r>
    </w:p>
    <w:p>
      <w:pPr>
        <w:pStyle w:val="ListBullet"/>
      </w:pPr>
      <w:r>
        <w:t>Working note: /app/_Working/_tmp/ contains approximately 100 plain-text extractions of the source PDFs generated for this audit. They are analysis scratch, not a deliverable, and can be deleted.</w:t>
      </w:r>
    </w:p>
    <w:p>
      <w:pPr>
        <w:pStyle w:val="Heading1"/>
      </w:pPr>
      <w:r>
        <w:t>10. Recommendation</w:t>
      </w:r>
    </w:p>
    <w:p>
      <w:r>
        <w:rPr>
          <w:b w:val="0"/>
          <w:i w:val="0"/>
        </w:rPr>
        <w:t>Nonclinical recommends the following, in this order:</w:t>
      </w:r>
    </w:p>
    <w:p>
      <w:pPr>
        <w:pStyle w:val="ListBullet"/>
      </w:pPr>
      <w:r>
        <w:t>Concede the species point in one sentence. FDA is right. Every margin in IND 167326 is a non-hybridization margin, and no study in the IND measured on-target lowering. Arguing otherwise spends credibility on a position the primary records do not support.</w:t>
      </w:r>
    </w:p>
    <w:p>
      <w:pPr>
        <w:pStyle w:val="ListBullet"/>
      </w:pPr>
      <w:r>
        <w:t>Do not run the dog bridging study (Option A). It cannot measure on-target toxicity, and at the maximum feasible dose it does not even reach the deep-gray exposure associated with half-maximal lowering.</w:t>
      </w:r>
    </w:p>
    <w:p>
      <w:pPr>
        <w:pStyle w:val="ListBullet"/>
      </w:pPr>
      <w:r>
        <w:t>Do not submit the humanized-mouse package as a rebuttal. Submit it as what it is: evidence of target engagement and durability, with the transgene confounders disclosed.</w:t>
      </w:r>
    </w:p>
    <w:p>
      <w:pPr>
        <w:pStyle w:val="ListBullet"/>
      </w:pPr>
      <w:r>
        <w:t>Commit to the cynomolgus study as specified in Section 7, and submit the protocol. Four intrathecal doses on Days 1, 8, 91 and 182; three dose levels at 20.0, 66.7 and 100.0 mg/mL in 1.0 mL; 56 animals in main, interim and recovery cohorts; 183 days in life; specialized neurologic and pharmacodynamic endpoints in all animals; full GLP with the A-703-01 exceptions closed.</w:t>
      </w:r>
    </w:p>
    <w:p>
      <w:pPr>
        <w:pStyle w:val="ListBullet"/>
      </w:pPr>
      <w:r>
        <w:t>Correct the neurobehavioral-attribution error with, or before, the response, and file the remaining document corrections in a separate amendment as the letter directs.</w:t>
      </w:r>
    </w:p>
    <w:p>
      <w:pPr>
        <w:pStyle w:val="ListBullet"/>
      </w:pPr>
      <w:r>
        <w:t>Remove the 30-day-default dosing statement and the 6-week duration commitment from the draft response, and generate the two Section 7.10 inputs before the protocol is finalized.</w:t>
      </w:r>
    </w:p>
    <w:p>
      <w:r>
        <w:rPr>
          <w:b w:val="0"/>
          <w:i w:val="0"/>
        </w:rPr>
        <w:t>Nothing in the response should state a margin that is not in the Section 8 list.</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