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4"/>
        </w:rPr>
        <w:t>CSF Total-PrP ELISA — Context-of-Use Defense</w:t>
      </w:r>
    </w:p>
    <w:p>
      <w:pPr>
        <w:jc w:val="center"/>
      </w:pPr>
      <w:r>
        <w:rPr>
          <w:sz w:val="24"/>
        </w:rPr>
        <w:t>Response support for Non-Hold Clinical Comment 4, IND 167326 (2439-exNA)</w:t>
      </w:r>
    </w:p>
    <w:tbl>
      <w:tblPr>
        <w:tblStyle w:val="LightGrid-Accent1"/>
        <w:tblW w:type="auto" w:w="0"/>
        <w:jc w:val="center"/>
        <w:tblLook w:firstColumn="1" w:firstRow="1" w:lastColumn="0" w:lastRow="0" w:noHBand="0" w:noVBand="1" w:val="04A0"/>
      </w:tblPr>
      <w:tblGrid>
        <w:gridCol w:w="4320"/>
        <w:gridCol w:w="4320"/>
      </w:tblGrid>
      <w:tr>
        <w:tc>
          <w:tcPr>
            <w:tcW w:type="dxa" w:w="2160"/>
          </w:tcPr>
          <w:p>
            <w:r/>
            <w:r>
              <w:rPr>
                <w:b/>
                <w:sz w:val="18"/>
              </w:rPr>
              <w:t>Field</w:t>
            </w:r>
          </w:p>
        </w:tc>
        <w:tc>
          <w:tcPr>
            <w:tcW w:type="dxa" w:w="7200"/>
          </w:tcPr>
          <w:p>
            <w:r/>
            <w:r>
              <w:rPr>
                <w:b/>
                <w:sz w:val="18"/>
              </w:rPr>
              <w:t>Entry</w:t>
            </w:r>
          </w:p>
        </w:tc>
      </w:tr>
      <w:tr>
        <w:tc>
          <w:tcPr>
            <w:tcW w:type="dxa" w:w="2160"/>
          </w:tcPr>
          <w:p>
            <w:r/>
            <w:r>
              <w:rPr>
                <w:sz w:val="18"/>
              </w:rPr>
              <w:t>IND / product</w:t>
            </w:r>
          </w:p>
        </w:tc>
        <w:tc>
          <w:tcPr>
            <w:tcW w:type="dxa" w:w="7200"/>
          </w:tcPr>
          <w:p>
            <w:r/>
            <w:r>
              <w:rPr>
                <w:sz w:val="18"/>
              </w:rPr>
              <w:t>IND 167326 — 2439-exNA, PrP-lowering divalent siRNA (PRNP)</w:t>
            </w:r>
          </w:p>
        </w:tc>
      </w:tr>
      <w:tr>
        <w:tc>
          <w:tcPr>
            <w:tcW w:type="dxa" w:w="2160"/>
          </w:tcPr>
          <w:p>
            <w:r/>
            <w:r>
              <w:rPr>
                <w:sz w:val="18"/>
              </w:rPr>
              <w:t>Sponsor</w:t>
            </w:r>
          </w:p>
        </w:tc>
        <w:tc>
          <w:tcPr>
            <w:tcW w:type="dxa" w:w="7200"/>
          </w:tcPr>
          <w:p>
            <w:r/>
            <w:r>
              <w:rPr>
                <w:sz w:val="18"/>
              </w:rPr>
              <w:t>Broad Institute of MIT and Harvard</w:t>
            </w:r>
          </w:p>
        </w:tc>
      </w:tr>
      <w:tr>
        <w:tc>
          <w:tcPr>
            <w:tcW w:type="dxa" w:w="2160"/>
          </w:tcPr>
          <w:p>
            <w:r/>
            <w:r>
              <w:rPr>
                <w:sz w:val="18"/>
              </w:rPr>
              <w:t>Responds to</w:t>
            </w:r>
          </w:p>
        </w:tc>
        <w:tc>
          <w:tcPr>
            <w:tcW w:type="dxa" w:w="7200"/>
          </w:tcPr>
          <w:p>
            <w:r/>
            <w:r>
              <w:rPr>
                <w:sz w:val="18"/>
              </w:rPr>
              <w:t>FDA Partial Clinical Hold letter dated 14-Mar-2025 (Reference ID 5570921), CLINICAL Comment 4 (non-hold)</w:t>
            </w:r>
          </w:p>
        </w:tc>
      </w:tr>
      <w:tr>
        <w:tc>
          <w:tcPr>
            <w:tcW w:type="dxa" w:w="2160"/>
          </w:tcPr>
          <w:p>
            <w:r/>
            <w:r>
              <w:rPr>
                <w:sz w:val="18"/>
              </w:rPr>
              <w:t>Applies to</w:t>
            </w:r>
          </w:p>
        </w:tc>
        <w:tc>
          <w:tcPr>
            <w:tcW w:type="dxa" w:w="7200"/>
          </w:tcPr>
          <w:p>
            <w:r/>
            <w:r>
              <w:rPr>
                <w:sz w:val="18"/>
              </w:rPr>
              <w:t>CSF total prion protein (CSF PrP) by in-house sandwich ELISA — secondary pharmacodynamic endpoint, symptomatic SAD protocol v7 (2025-03-06); same endpoint in presymptomatic protocol</w:t>
            </w:r>
          </w:p>
        </w:tc>
      </w:tr>
      <w:tr>
        <w:tc>
          <w:tcPr>
            <w:tcW w:type="dxa" w:w="2160"/>
          </w:tcPr>
          <w:p>
            <w:r/>
            <w:r>
              <w:rPr>
                <w:sz w:val="18"/>
              </w:rPr>
              <w:t>Prepared for</w:t>
            </w:r>
          </w:p>
        </w:tc>
        <w:tc>
          <w:tcPr>
            <w:tcW w:type="dxa" w:w="7200"/>
          </w:tcPr>
          <w:p>
            <w:r/>
            <w:r>
              <w:rPr>
                <w:sz w:val="18"/>
              </w:rPr>
              <w:t>QA and Regulatory Affairs, for inclusion in the Comment 4 non-hold amendment</w:t>
            </w:r>
          </w:p>
        </w:tc>
      </w:tr>
      <w:tr>
        <w:tc>
          <w:tcPr>
            <w:tcW w:type="dxa" w:w="2160"/>
          </w:tcPr>
          <w:p>
            <w:r/>
            <w:r>
              <w:rPr>
                <w:sz w:val="18"/>
              </w:rPr>
              <w:t>Author</w:t>
            </w:r>
          </w:p>
        </w:tc>
        <w:tc>
          <w:tcPr>
            <w:tcW w:type="dxa" w:w="7200"/>
          </w:tcPr>
          <w:p>
            <w:r/>
            <w:r>
              <w:rPr>
                <w:sz w:val="18"/>
              </w:rPr>
              <w:t>Translational Science, Prion Program</w:t>
            </w:r>
          </w:p>
        </w:tc>
      </w:tr>
      <w:tr>
        <w:tc>
          <w:tcPr>
            <w:tcW w:type="dxa" w:w="2160"/>
          </w:tcPr>
          <w:p>
            <w:r/>
            <w:r>
              <w:rPr>
                <w:sz w:val="18"/>
              </w:rPr>
              <w:t>Date</w:t>
            </w:r>
          </w:p>
        </w:tc>
        <w:tc>
          <w:tcPr>
            <w:tcW w:type="dxa" w:w="7200"/>
          </w:tcPr>
          <w:p>
            <w:r/>
            <w:r>
              <w:rPr>
                <w:sz w:val="18"/>
              </w:rPr>
              <w:t>18-Sep-2025</w:t>
            </w:r>
          </w:p>
        </w:tc>
      </w:tr>
      <w:tr>
        <w:tc>
          <w:tcPr>
            <w:tcW w:type="dxa" w:w="2160"/>
          </w:tcPr>
          <w:p>
            <w:r/>
            <w:r>
              <w:rPr>
                <w:sz w:val="18"/>
              </w:rPr>
              <w:t>Status</w:t>
            </w:r>
          </w:p>
        </w:tc>
        <w:tc>
          <w:tcPr>
            <w:tcW w:type="dxa" w:w="7200"/>
          </w:tcPr>
          <w:p>
            <w:r/>
            <w:r>
              <w:rPr>
                <w:sz w:val="18"/>
              </w:rPr>
              <w:t>Position of record for the Comment 4 response. Supersedes BA-MEMO-2025-03-19 where the two conflict (Section 5).</w:t>
            </w:r>
          </w:p>
        </w:tc>
      </w:tr>
    </w:tbl>
    <w:p/>
    <w:p>
      <w:pPr>
        <w:pStyle w:val="Heading1"/>
      </w:pPr>
      <w:r>
        <w:t>1. Purpose and bottom line</w:t>
      </w:r>
    </w:p>
    <w:p>
      <w:r>
        <w:rPr>
          <w:b w:val="0"/>
          <w:i w:val="0"/>
        </w:rPr>
        <w:t>Clinical Comment 4 asks the sponsor to confirm that the analytical methods are adequately validated for the sponsor’s specific context of use before PrP levels are used as a biomarker to support efficacy. This document states the context of use we can defend from the record and the data as they exist today, identifies precisely where the record is silent, and converts each closable gap into a numbered specification fit to be lifted verbatim into a qualification protocol.</w:t>
      </w:r>
    </w:p>
    <w:p>
      <w:r>
        <w:rPr>
          <w:b/>
          <w:i w:val="0"/>
        </w:rPr>
        <w:t>Bottom line.</w:t>
      </w:r>
    </w:p>
    <w:p>
      <w:pPr>
        <w:pStyle w:val="ListBullet"/>
      </w:pPr>
      <w:r>
        <w:t>The CSF total-PrP ELISA is defensible today, and only today, as a target-engagement / pharmacodynamic method for within-subject relative change in the symptomatic SAD study. It is not defensible today for any efficacy-supporting use, and the record does not currently support a claim that it is.</w:t>
      </w:r>
    </w:p>
    <w:p>
      <w:pPr>
        <w:pStyle w:val="ListBullet"/>
      </w:pPr>
      <w:r>
        <w:t>No PrP ELISA method validation report exists on the filed record. Module 4.2.2.1 contains eleven method development and method validation reports, all of them for the drug substance 2439-exNA in rat/dog CSF, plasma and tissue. Module 5.3.1 is empty. The only filed description of the PrP ELISA is the Methods narrative in 4.2.1.1 Primary Pharmacodynamics.</w:t>
      </w:r>
    </w:p>
    <w:p>
      <w:pPr>
        <w:pStyle w:val="ListBullet"/>
      </w:pPr>
      <w:r>
        <w:t>No numeric clinical run-acceptance rule for this assay is on the filed record — not in the symptomatic protocol, not in the presymptomatic protocol, not in 4.2.1.1, and not in the Type B briefing package. The protocol states only that the method was "developed at the Broad Institute and validated at Battelle" (symptomatic protocol §6.4.2). We hold no Battelle validation report on the translational desk, and none is indexed in SD-11755. The response must not assert a filed acceptance rule; it must commit to establishing one.</w:t>
      </w:r>
    </w:p>
    <w:p>
      <w:pPr>
        <w:pStyle w:val="ListBullet"/>
      </w:pPr>
      <w:r>
        <w:t>Every ELISA run on the translational desk today is mouse brain hemisphere homogenate. Across 16 plates and 10 studies (CMR-1313 through CMR-3164; 408 sample results, 156 QC wells, 260 calibrator wells) there are zero CSF specimens and zero human specimens. The species/matrix pair that Comment 4 asks about — human CSF — has never been run.</w:t>
      </w:r>
    </w:p>
    <w:p>
      <w:pPr>
        <w:pStyle w:val="ListBullet"/>
      </w:pPr>
      <w:r>
        <w:t>The exports contain four control failures an Agency reviewer will find without assistance: a failed critical-reagent lot bridge (a 23% to 42% step between two lots of the same QC pool, side by side on a single plate), plate-to-plate absolute drift of 3.5–4.9-fold in QC concentration, a within-plate positional bias up to 28.5%, and a cross-plate reanalysis set in which 12 of 12 aliquots moved in the same direction by a geometric mean of 19.7%. Section 4 quantifies each. Sections 6 and 7 close each.</w:t>
      </w:r>
    </w:p>
    <w:p>
      <w:pPr>
        <w:pStyle w:val="Heading1"/>
      </w:pPr>
      <w:r>
        <w:t>2. What Comment 4 actually requires</w:t>
      </w:r>
    </w:p>
    <w:p>
      <w:r>
        <w:rPr>
          <w:b w:val="0"/>
          <w:i w:val="0"/>
        </w:rPr>
        <w:t>The Agency’s text, verbatim:</w:t>
      </w:r>
    </w:p>
    <w:p>
      <w:pPr>
        <w:ind w:left="576"/>
      </w:pPr>
      <w:r>
        <w:rPr>
          <w:i/>
        </w:rPr>
        <w:t>"If the intent is to use PrP levels as a biomarker to support efficacy, you should confirm that the analytical methods are adequately validated by you for your specific context of use. This is to ensure that your proposed method operated by the trained analysts can accurately and consistently measure the analytes of interest in the given biological matrices. Specificity and sensitivity of the assay method for all analytes would be important to confirm with both your proposed biological matrices and using appropriate control samples … We encourage you to submit your method development and validation protocols to the Agency for review and discussion before you use the method in efficacy trials."</w:t>
      </w:r>
    </w:p>
    <w:p>
      <w:r>
        <w:rPr>
          <w:b w:val="0"/>
          <w:i w:val="0"/>
        </w:rPr>
        <w:t>Four obligations follow, each of which structures this document:</w:t>
      </w:r>
    </w:p>
    <w:tbl>
      <w:tblPr>
        <w:tblStyle w:val="LightGrid-Accent1"/>
        <w:tblW w:type="auto" w:w="0"/>
        <w:jc w:val="center"/>
        <w:tblLook w:firstColumn="1" w:firstRow="1" w:lastColumn="0" w:lastRow="0" w:noHBand="0" w:noVBand="1" w:val="04A0"/>
      </w:tblPr>
      <w:tblGrid>
        <w:gridCol w:w="2880"/>
        <w:gridCol w:w="2880"/>
        <w:gridCol w:w="2880"/>
      </w:tblGrid>
      <w:tr>
        <w:tc>
          <w:tcPr>
            <w:tcW w:type="dxa" w:w="576"/>
          </w:tcPr>
          <w:p>
            <w:r/>
            <w:r>
              <w:rPr>
                <w:b/>
                <w:sz w:val="18"/>
              </w:rPr>
              <w:t>#</w:t>
            </w:r>
          </w:p>
        </w:tc>
        <w:tc>
          <w:tcPr>
            <w:tcW w:type="dxa" w:w="5904"/>
          </w:tcPr>
          <w:p>
            <w:r/>
            <w:r>
              <w:rPr>
                <w:b/>
                <w:sz w:val="18"/>
              </w:rPr>
              <w:t>Agency obligation</w:t>
            </w:r>
          </w:p>
        </w:tc>
        <w:tc>
          <w:tcPr>
            <w:tcW w:type="dxa" w:w="2880"/>
          </w:tcPr>
          <w:p>
            <w:r/>
            <w:r>
              <w:rPr>
                <w:b/>
                <w:sz w:val="18"/>
              </w:rPr>
              <w:t>Where addressed</w:t>
            </w:r>
          </w:p>
        </w:tc>
      </w:tr>
      <w:tr>
        <w:tc>
          <w:tcPr>
            <w:tcW w:type="dxa" w:w="576"/>
          </w:tcPr>
          <w:p>
            <w:r/>
            <w:r>
              <w:rPr>
                <w:sz w:val="18"/>
              </w:rPr>
              <w:t>(a)</w:t>
            </w:r>
          </w:p>
        </w:tc>
        <w:tc>
          <w:tcPr>
            <w:tcW w:type="dxa" w:w="5904"/>
          </w:tcPr>
          <w:p>
            <w:r/>
            <w:r>
              <w:rPr>
                <w:sz w:val="18"/>
              </w:rPr>
              <w:t>Validation by the sponsor, in the sponsor’s hands, for a stated context of use</w:t>
            </w:r>
          </w:p>
        </w:tc>
        <w:tc>
          <w:tcPr>
            <w:tcW w:type="dxa" w:w="2880"/>
          </w:tcPr>
          <w:p>
            <w:r/>
            <w:r>
              <w:rPr>
                <w:sz w:val="18"/>
              </w:rPr>
              <w:t>§3 (CoU statement), §6</w:t>
            </w:r>
          </w:p>
        </w:tc>
      </w:tr>
      <w:tr>
        <w:tc>
          <w:tcPr>
            <w:tcW w:type="dxa" w:w="576"/>
          </w:tcPr>
          <w:p>
            <w:r/>
            <w:r>
              <w:rPr>
                <w:sz w:val="18"/>
              </w:rPr>
              <w:t>(b)</w:t>
            </w:r>
          </w:p>
        </w:tc>
        <w:tc>
          <w:tcPr>
            <w:tcW w:type="dxa" w:w="5904"/>
          </w:tcPr>
          <w:p>
            <w:r/>
            <w:r>
              <w:rPr>
                <w:sz w:val="18"/>
              </w:rPr>
              <w:t>Accurate and consistent measurement in the given biological matrices (i.e. human CSF)</w:t>
            </w:r>
          </w:p>
        </w:tc>
        <w:tc>
          <w:tcPr>
            <w:tcW w:type="dxa" w:w="2880"/>
          </w:tcPr>
          <w:p>
            <w:r/>
            <w:r>
              <w:rPr>
                <w:sz w:val="18"/>
              </w:rPr>
              <w:t>§4.2, §7 (S-6)</w:t>
            </w:r>
          </w:p>
        </w:tc>
      </w:tr>
      <w:tr>
        <w:tc>
          <w:tcPr>
            <w:tcW w:type="dxa" w:w="576"/>
          </w:tcPr>
          <w:p>
            <w:r/>
            <w:r>
              <w:rPr>
                <w:sz w:val="18"/>
              </w:rPr>
              <w:t>(c)</w:t>
            </w:r>
          </w:p>
        </w:tc>
        <w:tc>
          <w:tcPr>
            <w:tcW w:type="dxa" w:w="5904"/>
          </w:tcPr>
          <w:p>
            <w:r/>
            <w:r>
              <w:rPr>
                <w:sz w:val="18"/>
              </w:rPr>
              <w:t>Specificity and sensitivity confirmed in the proposed matrix using appropriate control samples</w:t>
            </w:r>
          </w:p>
        </w:tc>
        <w:tc>
          <w:tcPr>
            <w:tcW w:type="dxa" w:w="2880"/>
          </w:tcPr>
          <w:p>
            <w:r/>
            <w:r>
              <w:rPr>
                <w:sz w:val="18"/>
              </w:rPr>
              <w:t>§7 (S-1, S-2, S-6)</w:t>
            </w:r>
          </w:p>
        </w:tc>
      </w:tr>
      <w:tr>
        <w:tc>
          <w:tcPr>
            <w:tcW w:type="dxa" w:w="576"/>
          </w:tcPr>
          <w:p>
            <w:r/>
            <w:r>
              <w:rPr>
                <w:sz w:val="18"/>
              </w:rPr>
              <w:t>(d)</w:t>
            </w:r>
          </w:p>
        </w:tc>
        <w:tc>
          <w:tcPr>
            <w:tcW w:type="dxa" w:w="5904"/>
          </w:tcPr>
          <w:p>
            <w:r/>
            <w:r>
              <w:rPr>
                <w:sz w:val="18"/>
              </w:rPr>
              <w:t>Method development and validation protocols submitted for review before use in efficacy trials</w:t>
            </w:r>
          </w:p>
        </w:tc>
        <w:tc>
          <w:tcPr>
            <w:tcW w:type="dxa" w:w="2880"/>
          </w:tcPr>
          <w:p>
            <w:r/>
            <w:r>
              <w:rPr>
                <w:sz w:val="18"/>
              </w:rPr>
              <w:t>§8, §9</w:t>
            </w:r>
          </w:p>
        </w:tc>
      </w:tr>
    </w:tbl>
    <w:p/>
    <w:p>
      <w:r>
        <w:rPr>
          <w:b w:val="0"/>
          <w:i/>
        </w:rPr>
        <w:t>Note the conditional in the Agency’s first clause. Comment 4 binds only "if the intent is to use PrP levels … to support efficacy." Our defense therefore turns on stating the intended use narrowly and truthfully, and on not claiming the wider use until the qualification in §7 is complete.</w:t>
      </w:r>
    </w:p>
    <w:p>
      <w:pPr>
        <w:pStyle w:val="Heading1"/>
      </w:pPr>
      <w:r>
        <w:t>3. Context of use, stated in two tiers</w:t>
      </w:r>
    </w:p>
    <w:p>
      <w:r>
        <w:rPr>
          <w:b w:val="0"/>
          <w:i w:val="0"/>
        </w:rPr>
        <w:t>We propose to state the context of use as two tiers, of which only Tier 1 is claimed at this time. This is the core of the defense: it is a claim the record can carry.</w:t>
      </w:r>
    </w:p>
    <w:p>
      <w:r>
        <w:rPr>
          <w:b/>
          <w:i w:val="0"/>
        </w:rPr>
        <w:t>Tier 1 — claimed now (target engagement / dose selection).</w:t>
      </w:r>
    </w:p>
    <w:p>
      <w:pPr>
        <w:pStyle w:val="ListBullet"/>
      </w:pPr>
      <w:r>
        <w:t>Analyte and matrix: total PrP in human lumbar CSF, collected under the symptomatic SAD protocol.</w:t>
      </w:r>
    </w:p>
    <w:p>
      <w:pPr>
        <w:pStyle w:val="ListBullet"/>
      </w:pPr>
      <w:r>
        <w:t>Measurand: percent change from each subject’s own pre-dose (Day 0) CSF PrP concentration, at Weeks 4, 8, 12 and 24. Absolute concentration is reported for completeness but is not the measurand.</w:t>
      </w:r>
    </w:p>
    <w:p>
      <w:pPr>
        <w:pStyle w:val="ListBullet"/>
      </w:pPr>
      <w:r>
        <w:t>Decisional use: confirmation of CNS target engagement; support for dose escalation and dose selection in future studies; PK/PD characterization responsive to Clinical Pharmacology Comment 6.</w:t>
      </w:r>
    </w:p>
    <w:p>
      <w:pPr>
        <w:pStyle w:val="ListBullet"/>
      </w:pPr>
      <w:r>
        <w:t>Explicit exclusions: not used as an efficacy endpoint; not used as a surrogate for clinical benefit; not used for individual-subject treatment decisions; not used for cross-subject comparison of absolute concentration; not used for dose-response modelling of absolute lowering.</w:t>
      </w:r>
    </w:p>
    <w:p>
      <w:pPr>
        <w:pStyle w:val="ListBullet"/>
      </w:pPr>
      <w:r>
        <w:t>Reporting caveat carried on every output: values are analytically qualified for within-subject relative change only, and derive from a method not yet validated in human CSF.</w:t>
      </w:r>
    </w:p>
    <w:p>
      <w:r>
        <w:rPr>
          <w:b/>
          <w:i w:val="0"/>
        </w:rPr>
        <w:t>Tier 2 — not claimed until the §7 specifications are executed and reported (efficacy-supporting).</w:t>
      </w:r>
    </w:p>
    <w:p>
      <w:pPr>
        <w:pStyle w:val="ListBullet"/>
      </w:pPr>
      <w:r>
        <w:t>Any use of CSF PrP as a biomarker intended to support efficacy — including use as a primary or key secondary endpoint, as a registrational surrogate, or as the basis of a benefit claim — is deferred until the full qualification package in §7 is complete and the validation protocol has been submitted to the Division for review per Comment 4(d).</w:t>
      </w:r>
    </w:p>
    <w:p>
      <w:r>
        <w:rPr>
          <w:b/>
          <w:i w:val="0"/>
        </w:rPr>
        <w:t>Consistency check against the filed protocol.</w:t>
      </w:r>
    </w:p>
    <w:p>
      <w:r>
        <w:rPr>
          <w:b w:val="0"/>
          <w:i w:val="0"/>
        </w:rPr>
        <w:t>CSF PrP is a secondary endpoint on the filed record (symptomatic protocol §8.3.2), with a pre-specified two-sided paired t-test at p=0.05 and a power statement claiming 80% power to detect a 10% decrease in 9 subjects at the top dose, assuming the 9.0% within-individual CV from the natural-history cohort (§8.2.2). Tier 1 is compatible with that text. It is not compatible with describing the endpoint as "exploratory," which the filed record does not do (see §5, item 2).</w:t>
      </w:r>
    </w:p>
    <w:p>
      <w:pPr>
        <w:pStyle w:val="Heading1"/>
      </w:pPr>
      <w:r>
        <w:t>4. What is on the translational desk today</w:t>
      </w:r>
    </w:p>
    <w:p>
      <w:pPr>
        <w:pStyle w:val="Heading2"/>
      </w:pPr>
      <w:r>
        <w:t>4.1 The method as filed</w:t>
      </w:r>
    </w:p>
    <w:p>
      <w:r>
        <w:rPr>
          <w:b w:val="0"/>
          <w:i w:val="0"/>
        </w:rPr>
        <w:t>4.2.1.1 Primary Pharmacodynamics, Methods, is the only method description on the filed record:</w:t>
      </w:r>
    </w:p>
    <w:tbl>
      <w:tblPr>
        <w:tblStyle w:val="LightGrid-Accent1"/>
        <w:tblW w:type="auto" w:w="0"/>
        <w:jc w:val="center"/>
        <w:tblLook w:firstColumn="1" w:firstRow="1" w:lastColumn="0" w:lastRow="0" w:noHBand="0" w:noVBand="1" w:val="04A0"/>
      </w:tblPr>
      <w:tblGrid>
        <w:gridCol w:w="4320"/>
        <w:gridCol w:w="4320"/>
      </w:tblGrid>
      <w:tr>
        <w:tc>
          <w:tcPr>
            <w:tcW w:type="dxa" w:w="2160"/>
          </w:tcPr>
          <w:p>
            <w:r/>
            <w:r>
              <w:rPr>
                <w:b/>
                <w:sz w:val="18"/>
              </w:rPr>
              <w:t>Element</w:t>
            </w:r>
          </w:p>
        </w:tc>
        <w:tc>
          <w:tcPr>
            <w:tcW w:type="dxa" w:w="7200"/>
          </w:tcPr>
          <w:p>
            <w:r/>
            <w:r>
              <w:rPr>
                <w:b/>
                <w:sz w:val="18"/>
              </w:rPr>
              <w:t>As filed in 4.2.1.1</w:t>
            </w:r>
          </w:p>
        </w:tc>
      </w:tr>
      <w:tr>
        <w:tc>
          <w:tcPr>
            <w:tcW w:type="dxa" w:w="2160"/>
          </w:tcPr>
          <w:p>
            <w:r/>
            <w:r>
              <w:rPr>
                <w:sz w:val="18"/>
              </w:rPr>
              <w:t>Format</w:t>
            </w:r>
          </w:p>
        </w:tc>
        <w:tc>
          <w:tcPr>
            <w:tcW w:type="dxa" w:w="7200"/>
          </w:tcPr>
          <w:p>
            <w:r/>
            <w:r>
              <w:rPr>
                <w:sz w:val="18"/>
              </w:rPr>
              <w:t>Sandwich ELISA, colorimetric (TMB)</w:t>
            </w:r>
          </w:p>
        </w:tc>
      </w:tr>
      <w:tr>
        <w:tc>
          <w:tcPr>
            <w:tcW w:type="dxa" w:w="2160"/>
          </w:tcPr>
          <w:p>
            <w:r/>
            <w:r>
              <w:rPr>
                <w:sz w:val="18"/>
              </w:rPr>
              <w:t>Capture antibody</w:t>
            </w:r>
          </w:p>
        </w:tc>
        <w:tc>
          <w:tcPr>
            <w:tcW w:type="dxa" w:w="7200"/>
          </w:tcPr>
          <w:p>
            <w:r/>
            <w:r>
              <w:rPr>
                <w:sz w:val="18"/>
              </w:rPr>
              <w:t>EP1802Y (Abcam ab52604)</w:t>
            </w:r>
          </w:p>
        </w:tc>
      </w:tr>
      <w:tr>
        <w:tc>
          <w:tcPr>
            <w:tcW w:type="dxa" w:w="2160"/>
          </w:tcPr>
          <w:p>
            <w:r/>
            <w:r>
              <w:rPr>
                <w:sz w:val="18"/>
              </w:rPr>
              <w:t>Detection antibody</w:t>
            </w:r>
          </w:p>
        </w:tc>
        <w:tc>
          <w:tcPr>
            <w:tcW w:type="dxa" w:w="7200"/>
          </w:tcPr>
          <w:p>
            <w:r/>
            <w:r>
              <w:rPr>
                <w:sz w:val="18"/>
              </w:rPr>
              <w:t>In-house biotinylated 8H4 (Abcam ab61409), then streptavidin-HRP (Thermo Fisher 21130)</w:t>
            </w:r>
          </w:p>
        </w:tc>
      </w:tr>
      <w:tr>
        <w:tc>
          <w:tcPr>
            <w:tcW w:type="dxa" w:w="2160"/>
          </w:tcPr>
          <w:p>
            <w:r/>
            <w:r>
              <w:rPr>
                <w:sz w:val="18"/>
              </w:rPr>
              <w:t>Substrate</w:t>
            </w:r>
          </w:p>
        </w:tc>
        <w:tc>
          <w:tcPr>
            <w:tcW w:type="dxa" w:w="7200"/>
          </w:tcPr>
          <w:p>
            <w:r/>
            <w:r>
              <w:rPr>
                <w:sz w:val="18"/>
              </w:rPr>
              <w:t>TMB (Cell Signaling 7004P4)</w:t>
            </w:r>
          </w:p>
        </w:tc>
      </w:tr>
      <w:tr>
        <w:tc>
          <w:tcPr>
            <w:tcW w:type="dxa" w:w="2160"/>
          </w:tcPr>
          <w:p>
            <w:r/>
            <w:r>
              <w:rPr>
                <w:sz w:val="18"/>
              </w:rPr>
              <w:t>Calibrator</w:t>
            </w:r>
          </w:p>
        </w:tc>
        <w:tc>
          <w:tcPr>
            <w:tcW w:type="dxa" w:w="7200"/>
          </w:tcPr>
          <w:p>
            <w:r/>
            <w:r>
              <w:rPr>
                <w:sz w:val="18"/>
              </w:rPr>
              <w:t>Recombinant full-length mouse PrP (MoPrP23-231), E. coli-expressed, purified in-house</w:t>
            </w:r>
          </w:p>
        </w:tc>
      </w:tr>
      <w:tr>
        <w:tc>
          <w:tcPr>
            <w:tcW w:type="dxa" w:w="2160"/>
          </w:tcPr>
          <w:p>
            <w:r/>
            <w:r>
              <w:rPr>
                <w:sz w:val="18"/>
              </w:rPr>
              <w:t>Calibrator range</w:t>
            </w:r>
          </w:p>
        </w:tc>
        <w:tc>
          <w:tcPr>
            <w:tcW w:type="dxa" w:w="7200"/>
          </w:tcPr>
          <w:p>
            <w:r/>
            <w:r>
              <w:rPr>
                <w:sz w:val="18"/>
              </w:rPr>
              <w:t>5 ng/mL to 0.05 ng/mL</w:t>
            </w:r>
          </w:p>
        </w:tc>
      </w:tr>
      <w:tr>
        <w:tc>
          <w:tcPr>
            <w:tcW w:type="dxa" w:w="2160"/>
          </w:tcPr>
          <w:p>
            <w:r/>
            <w:r>
              <w:rPr>
                <w:sz w:val="18"/>
              </w:rPr>
              <w:t>Matrix validated</w:t>
            </w:r>
          </w:p>
        </w:tc>
        <w:tc>
          <w:tcPr>
            <w:tcW w:type="dxa" w:w="7200"/>
          </w:tcPr>
          <w:p>
            <w:r/>
            <w:r>
              <w:rPr>
                <w:sz w:val="18"/>
              </w:rPr>
              <w:t>Whole mouse brain hemisphere, homogenized 10% w/v in 0.2% CHAPS</w:t>
            </w:r>
          </w:p>
        </w:tc>
      </w:tr>
      <w:tr>
        <w:tc>
          <w:tcPr>
            <w:tcW w:type="dxa" w:w="2160"/>
          </w:tcPr>
          <w:p>
            <w:r/>
            <w:r>
              <w:rPr>
                <w:sz w:val="18"/>
              </w:rPr>
              <w:t>Sample dilution</w:t>
            </w:r>
          </w:p>
        </w:tc>
        <w:tc>
          <w:tcPr>
            <w:tcW w:type="dxa" w:w="7200"/>
          </w:tcPr>
          <w:p>
            <w:r/>
            <w:r>
              <w:rPr>
                <w:sz w:val="18"/>
              </w:rPr>
              <w:t>1:200 final (wild-type, Tg25109); 1:400 (Tg26372, PrP-overexpressing)</w:t>
            </w:r>
          </w:p>
        </w:tc>
      </w:tr>
      <w:tr>
        <w:tc>
          <w:tcPr>
            <w:tcW w:type="dxa" w:w="2160"/>
          </w:tcPr>
          <w:p>
            <w:r/>
            <w:r>
              <w:rPr>
                <w:sz w:val="18"/>
              </w:rPr>
              <w:t>On-plate QCs</w:t>
            </w:r>
          </w:p>
        </w:tc>
        <w:tc>
          <w:tcPr>
            <w:tcW w:type="dxa" w:w="7200"/>
          </w:tcPr>
          <w:p>
            <w:r/>
            <w:r>
              <w:rPr>
                <w:sz w:val="18"/>
              </w:rPr>
              <w:t>High = WT brain homogenate; Mid = heterozygous-knockout homogenate; Low = 10% WT / 90% KO mix; Negative = KO homogenate</w:t>
            </w:r>
          </w:p>
        </w:tc>
      </w:tr>
      <w:tr>
        <w:tc>
          <w:tcPr>
            <w:tcW w:type="dxa" w:w="2160"/>
          </w:tcPr>
          <w:p>
            <w:r/>
            <w:r>
              <w:rPr>
                <w:sz w:val="18"/>
              </w:rPr>
              <w:t>Normalization strategy</w:t>
            </w:r>
          </w:p>
        </w:tc>
        <w:tc>
          <w:tcPr>
            <w:tcW w:type="dxa" w:w="7200"/>
          </w:tcPr>
          <w:p>
            <w:r/>
            <w:r>
              <w:rPr>
                <w:sz w:val="18"/>
              </w:rPr>
              <w:t>Each sample normalized to the mean of on-plate saline / no-injection controls; treatment groups split evenly across plates when an experiment exceeds one plate</w:t>
            </w:r>
          </w:p>
        </w:tc>
      </w:tr>
      <w:tr>
        <w:tc>
          <w:tcPr>
            <w:tcW w:type="dxa" w:w="2160"/>
          </w:tcPr>
          <w:p>
            <w:r/>
            <w:r>
              <w:rPr>
                <w:sz w:val="18"/>
              </w:rPr>
              <w:t>Human cross-reactivity</w:t>
            </w:r>
          </w:p>
        </w:tc>
        <w:tc>
          <w:tcPr>
            <w:tcW w:type="dxa" w:w="7200"/>
          </w:tcPr>
          <w:p>
            <w:r/>
            <w:r>
              <w:rPr>
                <w:sz w:val="18"/>
              </w:rPr>
              <w:t>Asserted as "indistinguishable reactivity for human and mouse PrP," cited to prior publication (ref. 46); no in-house human-matrix data filed</w:t>
            </w:r>
          </w:p>
        </w:tc>
      </w:tr>
      <w:tr>
        <w:tc>
          <w:tcPr>
            <w:tcW w:type="dxa" w:w="2160"/>
          </w:tcPr>
          <w:p>
            <w:r/>
            <w:r>
              <w:rPr>
                <w:sz w:val="18"/>
              </w:rPr>
              <w:t>Known low-end bias</w:t>
            </w:r>
          </w:p>
        </w:tc>
        <w:tc>
          <w:tcPr>
            <w:tcW w:type="dxa" w:w="7200"/>
          </w:tcPr>
          <w:p>
            <w:r/>
            <w:r>
              <w:rPr>
                <w:sz w:val="18"/>
              </w:rPr>
              <w:t>Filed text states that the low QC, designed to mimic 10% residual PrP, "averaged 17% residual PrP across all ELISA plates run in this study" — i.e. a ~1.7× positive bias at the bottom of the range, disclosed on the record</w:t>
            </w:r>
          </w:p>
        </w:tc>
      </w:tr>
    </w:tbl>
    <w:p/>
    <w:p>
      <w:r>
        <w:rPr>
          <w:b w:val="0"/>
          <w:i w:val="0"/>
        </w:rPr>
        <w:t>Two consequences of this design must be said plainly, because a reviewer will say them. First, the filed method is a relative assay: it is normalized to on-plate biological controls and its absolute accuracy has never been the claim. Second, its plate-splitting design assumes that all specimens to be compared are run in the same run. Neither assumption transfers automatically to a clinical study in which one subject’s baseline and Week-24 specimens are collected six months apart.</w:t>
      </w:r>
    </w:p>
    <w:p>
      <w:pPr>
        <w:pStyle w:val="Heading2"/>
      </w:pPr>
      <w:r>
        <w:t>4.2 Provenance of the raw analytic exports</w:t>
      </w:r>
    </w:p>
    <w:p>
      <w:r>
        <w:rPr>
          <w:b w:val="0"/>
          <w:i w:val="0"/>
        </w:rPr>
        <w:t>Source: raw_data/analytic/elisa.tsv (408 sample results), raw_data/analytic/elisa_qc.tsv (416 control wells: 260 calibrator, 156 QC), raw_data/analytic/studysheets.tsv (625 animal records).</w:t>
      </w:r>
    </w:p>
    <w:tbl>
      <w:tblPr>
        <w:tblStyle w:val="LightGrid-Accent1"/>
        <w:tblW w:type="auto" w:w="0"/>
        <w:jc w:val="center"/>
        <w:tblLook w:firstColumn="1" w:firstRow="1" w:lastColumn="0" w:lastRow="0" w:noHBand="0" w:noVBand="1" w:val="04A0"/>
      </w:tblPr>
      <w:tblGrid>
        <w:gridCol w:w="4320"/>
        <w:gridCol w:w="4320"/>
      </w:tblGrid>
      <w:tr>
        <w:tc>
          <w:tcPr>
            <w:tcW w:type="dxa" w:w="2160"/>
          </w:tcPr>
          <w:p>
            <w:r/>
            <w:r>
              <w:rPr>
                <w:b/>
                <w:sz w:val="18"/>
              </w:rPr>
              <w:t>Attribute</w:t>
            </w:r>
          </w:p>
        </w:tc>
        <w:tc>
          <w:tcPr>
            <w:tcW w:type="dxa" w:w="7200"/>
          </w:tcPr>
          <w:p>
            <w:r/>
            <w:r>
              <w:rPr>
                <w:b/>
                <w:sz w:val="18"/>
              </w:rPr>
              <w:t>Content of the exports</w:t>
            </w:r>
          </w:p>
        </w:tc>
      </w:tr>
      <w:tr>
        <w:tc>
          <w:tcPr>
            <w:tcW w:type="dxa" w:w="2160"/>
          </w:tcPr>
          <w:p>
            <w:r/>
            <w:r>
              <w:rPr>
                <w:sz w:val="18"/>
              </w:rPr>
              <w:t>Runs</w:t>
            </w:r>
          </w:p>
        </w:tc>
        <w:tc>
          <w:tcPr>
            <w:tcW w:type="dxa" w:w="7200"/>
          </w:tcPr>
          <w:p>
            <w:r/>
            <w:r>
              <w:rPr>
                <w:sz w:val="18"/>
              </w:rPr>
              <w:t>16 plates: 43, 44, 49, 50, 53, 64, 84, 85, 87, 88, 106, 114, 124, 126, 138, 233</w:t>
            </w:r>
          </w:p>
        </w:tc>
      </w:tr>
      <w:tr>
        <w:tc>
          <w:tcPr>
            <w:tcW w:type="dxa" w:w="2160"/>
          </w:tcPr>
          <w:p>
            <w:r/>
            <w:r>
              <w:rPr>
                <w:sz w:val="18"/>
              </w:rPr>
              <w:t>Studies</w:t>
            </w:r>
          </w:p>
        </w:tc>
        <w:tc>
          <w:tcPr>
            <w:tcW w:type="dxa" w:w="7200"/>
          </w:tcPr>
          <w:p>
            <w:r/>
            <w:r>
              <w:rPr>
                <w:sz w:val="18"/>
              </w:rPr>
              <w:t>10: CMR-1313, -1403, -1418, -1465, -1656, -1697, -1871, -2198, -2371, -3164</w:t>
            </w:r>
          </w:p>
        </w:tc>
      </w:tr>
      <w:tr>
        <w:tc>
          <w:tcPr>
            <w:tcW w:type="dxa" w:w="2160"/>
          </w:tcPr>
          <w:p>
            <w:r/>
            <w:r>
              <w:rPr>
                <w:sz w:val="18"/>
              </w:rPr>
              <w:t>Specimen genotypes</w:t>
            </w:r>
          </w:p>
        </w:tc>
        <w:tc>
          <w:tcPr>
            <w:tcW w:type="dxa" w:w="7200"/>
          </w:tcPr>
          <w:p>
            <w:r/>
            <w:r>
              <w:rPr>
                <w:sz w:val="18"/>
              </w:rPr>
              <w:t>Tg26372 (483 records), C57BL/6N (78), Tg26372 HOM/ZH3 HOM (40), Tg25109 (24)</w:t>
            </w:r>
          </w:p>
        </w:tc>
      </w:tr>
      <w:tr>
        <w:tc>
          <w:tcPr>
            <w:tcW w:type="dxa" w:w="2160"/>
          </w:tcPr>
          <w:p>
            <w:r/>
            <w:r>
              <w:rPr>
                <w:sz w:val="18"/>
              </w:rPr>
              <w:t>Specimen matrix</w:t>
            </w:r>
          </w:p>
        </w:tc>
        <w:tc>
          <w:tcPr>
            <w:tcW w:type="dxa" w:w="7200"/>
          </w:tcPr>
          <w:p>
            <w:r/>
            <w:r>
              <w:rPr>
                <w:sz w:val="18"/>
              </w:rPr>
              <w:t>Whole mouse brain hemisphere homogenate (fields: icv_date, harvest_date, days_harvest)</w:t>
            </w:r>
          </w:p>
        </w:tc>
      </w:tr>
      <w:tr>
        <w:tc>
          <w:tcPr>
            <w:tcW w:type="dxa" w:w="2160"/>
          </w:tcPr>
          <w:p>
            <w:r/>
            <w:r>
              <w:rPr>
                <w:sz w:val="18"/>
              </w:rPr>
              <w:t>CSF specimens</w:t>
            </w:r>
          </w:p>
        </w:tc>
        <w:tc>
          <w:tcPr>
            <w:tcW w:type="dxa" w:w="7200"/>
          </w:tcPr>
          <w:p>
            <w:r/>
            <w:r>
              <w:rPr>
                <w:sz w:val="18"/>
              </w:rPr>
              <w:t>None</w:t>
            </w:r>
          </w:p>
        </w:tc>
      </w:tr>
      <w:tr>
        <w:tc>
          <w:tcPr>
            <w:tcW w:type="dxa" w:w="2160"/>
          </w:tcPr>
          <w:p>
            <w:r/>
            <w:r>
              <w:rPr>
                <w:sz w:val="18"/>
              </w:rPr>
              <w:t>Human specimens</w:t>
            </w:r>
          </w:p>
        </w:tc>
        <w:tc>
          <w:tcPr>
            <w:tcW w:type="dxa" w:w="7200"/>
          </w:tcPr>
          <w:p>
            <w:r/>
            <w:r>
              <w:rPr>
                <w:sz w:val="18"/>
              </w:rPr>
              <w:t>None</w:t>
            </w:r>
          </w:p>
        </w:tc>
      </w:tr>
      <w:tr>
        <w:tc>
          <w:tcPr>
            <w:tcW w:type="dxa" w:w="2160"/>
          </w:tcPr>
          <w:p>
            <w:r/>
            <w:r>
              <w:rPr>
                <w:sz w:val="18"/>
              </w:rPr>
              <w:t>QC materials</w:t>
            </w:r>
          </w:p>
        </w:tc>
        <w:tc>
          <w:tcPr>
            <w:tcW w:type="dxa" w:w="7200"/>
          </w:tcPr>
          <w:p>
            <w:r/>
            <w:r>
              <w:rPr>
                <w:sz w:val="18"/>
              </w:rPr>
              <w:t>MoPosHiQC, MoPosMidQC, MoPosLoQC, MoNeg — all murine brain homogenate pools; two distinct lots present ("…Old" vs current, plate 114)</w:t>
            </w:r>
          </w:p>
        </w:tc>
      </w:tr>
      <w:tr>
        <w:tc>
          <w:tcPr>
            <w:tcW w:type="dxa" w:w="2160"/>
          </w:tcPr>
          <w:p>
            <w:r/>
            <w:r>
              <w:rPr>
                <w:sz w:val="18"/>
              </w:rPr>
              <w:t>Censoring</w:t>
            </w:r>
          </w:p>
        </w:tc>
        <w:tc>
          <w:tcPr>
            <w:tcW w:type="dxa" w:w="7200"/>
          </w:tcPr>
          <w:p>
            <w:r/>
            <w:r>
              <w:rPr>
                <w:sz w:val="18"/>
              </w:rPr>
              <w:t>Reported floor 0.05 ng/mL × dilution (10.0 ng/mL at 1:200); ceiling 5 ng/mL × dilution (2000 ng/mL at 1:400). 8 of 408 sample results are censored at the 2000 ng/mL ceiling (plates 87, 88, 114); 86 control wells carry LLQ and 17 carry ULQ flags.</w:t>
            </w:r>
          </w:p>
        </w:tc>
      </w:tr>
    </w:tbl>
    <w:p/>
    <w:p>
      <w:r>
        <w:rPr>
          <w:b w:val="0"/>
          <w:i/>
        </w:rPr>
        <w:t>This is the single most important fact in the response package: the assay has an extensive murine brain performance history and no human CSF performance history at all. The gap Comment 4 asks about is a matrix gap, not a diligence gap, and it cannot be closed by re-analysing the mouse data.</w:t>
      </w:r>
    </w:p>
    <w:p>
      <w:pPr>
        <w:pStyle w:val="Heading2"/>
      </w:pPr>
      <w:r>
        <w:t>4.3 Calibrator performance, all 16 plates</w:t>
      </w:r>
    </w:p>
    <w:p>
      <w:r>
        <w:rPr>
          <w:b w:val="0"/>
          <w:i w:val="0"/>
        </w:rPr>
        <w:t>Back-calculated calibrator concentration as a percentage of nominal, pooled across plates (anchor levels 0 and 5 ng/mL are flagged LLQ/ULQ in the export and are excluded from the curve; 0.02048 ng/mL reports at the 0.05 ng/mL censoring floor on every plate and is therefore uninformative):</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584"/>
          </w:tcPr>
          <w:p>
            <w:r/>
            <w:r>
              <w:rPr>
                <w:b/>
                <w:sz w:val="18"/>
              </w:rPr>
              <w:t>Nominal (ng/mL)</w:t>
            </w:r>
          </w:p>
        </w:tc>
        <w:tc>
          <w:tcPr>
            <w:tcW w:type="dxa" w:w="864"/>
          </w:tcPr>
          <w:p>
            <w:r/>
            <w:r>
              <w:rPr>
                <w:b/>
                <w:sz w:val="18"/>
              </w:rPr>
              <w:t>Plates</w:t>
            </w:r>
          </w:p>
        </w:tc>
        <w:tc>
          <w:tcPr>
            <w:tcW w:type="dxa" w:w="2160"/>
          </w:tcPr>
          <w:p>
            <w:r/>
            <w:r>
              <w:rPr>
                <w:b/>
                <w:sz w:val="18"/>
              </w:rPr>
              <w:t>Recovery range</w:t>
            </w:r>
          </w:p>
        </w:tc>
        <w:tc>
          <w:tcPr>
            <w:tcW w:type="dxa" w:w="1296"/>
          </w:tcPr>
          <w:p>
            <w:r/>
            <w:r>
              <w:rPr>
                <w:b/>
                <w:sz w:val="18"/>
              </w:rPr>
              <w:t>Within ±20%</w:t>
            </w:r>
          </w:p>
        </w:tc>
        <w:tc>
          <w:tcPr>
            <w:tcW w:type="dxa" w:w="1296"/>
          </w:tcPr>
          <w:p>
            <w:r/>
            <w:r>
              <w:rPr>
                <w:b/>
                <w:sz w:val="18"/>
              </w:rPr>
              <w:t>Within ±25%</w:t>
            </w:r>
          </w:p>
        </w:tc>
        <w:tc>
          <w:tcPr>
            <w:tcW w:type="dxa" w:w="1440"/>
          </w:tcPr>
          <w:p>
            <w:r/>
            <w:r>
              <w:rPr>
                <w:b/>
                <w:sz w:val="18"/>
              </w:rPr>
              <w:t>Worst replicate CV</w:t>
            </w:r>
          </w:p>
        </w:tc>
      </w:tr>
      <w:tr>
        <w:tc>
          <w:tcPr>
            <w:tcW w:type="dxa" w:w="1584"/>
          </w:tcPr>
          <w:p>
            <w:r/>
            <w:r>
              <w:rPr>
                <w:sz w:val="18"/>
              </w:rPr>
              <w:t>0.02048</w:t>
            </w:r>
          </w:p>
        </w:tc>
        <w:tc>
          <w:tcPr>
            <w:tcW w:type="dxa" w:w="864"/>
          </w:tcPr>
          <w:p>
            <w:r/>
            <w:r>
              <w:rPr>
                <w:sz w:val="18"/>
              </w:rPr>
              <w:t>10</w:t>
            </w:r>
          </w:p>
        </w:tc>
        <w:tc>
          <w:tcPr>
            <w:tcW w:type="dxa" w:w="2160"/>
          </w:tcPr>
          <w:p>
            <w:r/>
            <w:r>
              <w:rPr>
                <w:sz w:val="18"/>
              </w:rPr>
              <w:t>188% – 244% (floor artefact)</w:t>
            </w:r>
          </w:p>
        </w:tc>
        <w:tc>
          <w:tcPr>
            <w:tcW w:type="dxa" w:w="1296"/>
          </w:tcPr>
          <w:p>
            <w:r/>
            <w:r>
              <w:rPr>
                <w:sz w:val="18"/>
              </w:rPr>
              <w:t>0/10</w:t>
            </w:r>
          </w:p>
        </w:tc>
        <w:tc>
          <w:tcPr>
            <w:tcW w:type="dxa" w:w="1296"/>
          </w:tcPr>
          <w:p>
            <w:r/>
            <w:r>
              <w:rPr>
                <w:sz w:val="18"/>
              </w:rPr>
              <w:t>0/10</w:t>
            </w:r>
          </w:p>
        </w:tc>
        <w:tc>
          <w:tcPr>
            <w:tcW w:type="dxa" w:w="1440"/>
          </w:tcPr>
          <w:p>
            <w:r/>
            <w:r>
              <w:rPr>
                <w:sz w:val="18"/>
              </w:rPr>
              <w:t>42.2%</w:t>
            </w:r>
          </w:p>
        </w:tc>
      </w:tr>
      <w:tr>
        <w:tc>
          <w:tcPr>
            <w:tcW w:type="dxa" w:w="1584"/>
          </w:tcPr>
          <w:p>
            <w:r/>
            <w:r>
              <w:rPr>
                <w:sz w:val="18"/>
              </w:rPr>
              <w:t>0.0512</w:t>
            </w:r>
          </w:p>
        </w:tc>
        <w:tc>
          <w:tcPr>
            <w:tcW w:type="dxa" w:w="864"/>
          </w:tcPr>
          <w:p>
            <w:r/>
            <w:r>
              <w:rPr>
                <w:sz w:val="18"/>
              </w:rPr>
              <w:t>15</w:t>
            </w:r>
          </w:p>
        </w:tc>
        <w:tc>
          <w:tcPr>
            <w:tcW w:type="dxa" w:w="2160"/>
          </w:tcPr>
          <w:p>
            <w:r/>
            <w:r>
              <w:rPr>
                <w:sz w:val="18"/>
              </w:rPr>
              <w:t>23.4% – 199.2%</w:t>
            </w:r>
          </w:p>
        </w:tc>
        <w:tc>
          <w:tcPr>
            <w:tcW w:type="dxa" w:w="1296"/>
          </w:tcPr>
          <w:p>
            <w:r/>
            <w:r>
              <w:rPr>
                <w:sz w:val="18"/>
              </w:rPr>
              <w:t>6/15</w:t>
            </w:r>
          </w:p>
        </w:tc>
        <w:tc>
          <w:tcPr>
            <w:tcW w:type="dxa" w:w="1296"/>
          </w:tcPr>
          <w:p>
            <w:r/>
            <w:r>
              <w:rPr>
                <w:sz w:val="18"/>
              </w:rPr>
              <w:t>8/15</w:t>
            </w:r>
          </w:p>
        </w:tc>
        <w:tc>
          <w:tcPr>
            <w:tcW w:type="dxa" w:w="1440"/>
          </w:tcPr>
          <w:p>
            <w:r/>
            <w:r>
              <w:rPr>
                <w:sz w:val="18"/>
              </w:rPr>
              <w:t>63.5%</w:t>
            </w:r>
          </w:p>
        </w:tc>
      </w:tr>
      <w:tr>
        <w:tc>
          <w:tcPr>
            <w:tcW w:type="dxa" w:w="1584"/>
          </w:tcPr>
          <w:p>
            <w:r/>
            <w:r>
              <w:rPr>
                <w:sz w:val="18"/>
              </w:rPr>
              <w:t>0.128</w:t>
            </w:r>
          </w:p>
        </w:tc>
        <w:tc>
          <w:tcPr>
            <w:tcW w:type="dxa" w:w="864"/>
          </w:tcPr>
          <w:p>
            <w:r/>
            <w:r>
              <w:rPr>
                <w:sz w:val="18"/>
              </w:rPr>
              <w:t>16</w:t>
            </w:r>
          </w:p>
        </w:tc>
        <w:tc>
          <w:tcPr>
            <w:tcW w:type="dxa" w:w="2160"/>
          </w:tcPr>
          <w:p>
            <w:r/>
            <w:r>
              <w:rPr>
                <w:sz w:val="18"/>
              </w:rPr>
              <w:t>69.1% – 118.0%</w:t>
            </w:r>
          </w:p>
        </w:tc>
        <w:tc>
          <w:tcPr>
            <w:tcW w:type="dxa" w:w="1296"/>
          </w:tcPr>
          <w:p>
            <w:r/>
            <w:r>
              <w:rPr>
                <w:sz w:val="18"/>
              </w:rPr>
              <w:t>15/16</w:t>
            </w:r>
          </w:p>
        </w:tc>
        <w:tc>
          <w:tcPr>
            <w:tcW w:type="dxa" w:w="1296"/>
          </w:tcPr>
          <w:p>
            <w:r/>
            <w:r>
              <w:rPr>
                <w:sz w:val="18"/>
              </w:rPr>
              <w:t>15/16</w:t>
            </w:r>
          </w:p>
        </w:tc>
        <w:tc>
          <w:tcPr>
            <w:tcW w:type="dxa" w:w="1440"/>
          </w:tcPr>
          <w:p>
            <w:r/>
            <w:r>
              <w:rPr>
                <w:sz w:val="18"/>
              </w:rPr>
              <w:t>18.4%</w:t>
            </w:r>
          </w:p>
        </w:tc>
      </w:tr>
      <w:tr>
        <w:tc>
          <w:tcPr>
            <w:tcW w:type="dxa" w:w="1584"/>
          </w:tcPr>
          <w:p>
            <w:r/>
            <w:r>
              <w:rPr>
                <w:sz w:val="18"/>
              </w:rPr>
              <w:t>0.32</w:t>
            </w:r>
          </w:p>
        </w:tc>
        <w:tc>
          <w:tcPr>
            <w:tcW w:type="dxa" w:w="864"/>
          </w:tcPr>
          <w:p>
            <w:r/>
            <w:r>
              <w:rPr>
                <w:sz w:val="18"/>
              </w:rPr>
              <w:t>16</w:t>
            </w:r>
          </w:p>
        </w:tc>
        <w:tc>
          <w:tcPr>
            <w:tcW w:type="dxa" w:w="2160"/>
          </w:tcPr>
          <w:p>
            <w:r/>
            <w:r>
              <w:rPr>
                <w:sz w:val="18"/>
              </w:rPr>
              <w:t>83.3% – 133.3%</w:t>
            </w:r>
          </w:p>
        </w:tc>
        <w:tc>
          <w:tcPr>
            <w:tcW w:type="dxa" w:w="1296"/>
          </w:tcPr>
          <w:p>
            <w:r/>
            <w:r>
              <w:rPr>
                <w:sz w:val="18"/>
              </w:rPr>
              <w:t>14/16</w:t>
            </w:r>
          </w:p>
        </w:tc>
        <w:tc>
          <w:tcPr>
            <w:tcW w:type="dxa" w:w="1296"/>
          </w:tcPr>
          <w:p>
            <w:r/>
            <w:r>
              <w:rPr>
                <w:sz w:val="18"/>
              </w:rPr>
              <w:t>14/16</w:t>
            </w:r>
          </w:p>
        </w:tc>
        <w:tc>
          <w:tcPr>
            <w:tcW w:type="dxa" w:w="1440"/>
          </w:tcPr>
          <w:p>
            <w:r/>
            <w:r>
              <w:rPr>
                <w:sz w:val="18"/>
              </w:rPr>
              <w:t>11.3%</w:t>
            </w:r>
          </w:p>
        </w:tc>
      </w:tr>
      <w:tr>
        <w:tc>
          <w:tcPr>
            <w:tcW w:type="dxa" w:w="1584"/>
          </w:tcPr>
          <w:p>
            <w:r/>
            <w:r>
              <w:rPr>
                <w:sz w:val="18"/>
              </w:rPr>
              <w:t>0.8</w:t>
            </w:r>
          </w:p>
        </w:tc>
        <w:tc>
          <w:tcPr>
            <w:tcW w:type="dxa" w:w="864"/>
          </w:tcPr>
          <w:p>
            <w:r/>
            <w:r>
              <w:rPr>
                <w:sz w:val="18"/>
              </w:rPr>
              <w:t>16</w:t>
            </w:r>
          </w:p>
        </w:tc>
        <w:tc>
          <w:tcPr>
            <w:tcW w:type="dxa" w:w="2160"/>
          </w:tcPr>
          <w:p>
            <w:r/>
            <w:r>
              <w:rPr>
                <w:sz w:val="18"/>
              </w:rPr>
              <w:t>91.4% – 103.4%</w:t>
            </w:r>
          </w:p>
        </w:tc>
        <w:tc>
          <w:tcPr>
            <w:tcW w:type="dxa" w:w="1296"/>
          </w:tcPr>
          <w:p>
            <w:r/>
            <w:r>
              <w:rPr>
                <w:sz w:val="18"/>
              </w:rPr>
              <w:t>16/16</w:t>
            </w:r>
          </w:p>
        </w:tc>
        <w:tc>
          <w:tcPr>
            <w:tcW w:type="dxa" w:w="1296"/>
          </w:tcPr>
          <w:p>
            <w:r/>
            <w:r>
              <w:rPr>
                <w:sz w:val="18"/>
              </w:rPr>
              <w:t>16/16</w:t>
            </w:r>
          </w:p>
        </w:tc>
        <w:tc>
          <w:tcPr>
            <w:tcW w:type="dxa" w:w="1440"/>
          </w:tcPr>
          <w:p>
            <w:r/>
            <w:r>
              <w:rPr>
                <w:sz w:val="18"/>
              </w:rPr>
              <w:t>8.1%</w:t>
            </w:r>
          </w:p>
        </w:tc>
      </w:tr>
      <w:tr>
        <w:tc>
          <w:tcPr>
            <w:tcW w:type="dxa" w:w="1584"/>
          </w:tcPr>
          <w:p>
            <w:r/>
            <w:r>
              <w:rPr>
                <w:sz w:val="18"/>
              </w:rPr>
              <w:t>2.0</w:t>
            </w:r>
          </w:p>
        </w:tc>
        <w:tc>
          <w:tcPr>
            <w:tcW w:type="dxa" w:w="864"/>
          </w:tcPr>
          <w:p>
            <w:r/>
            <w:r>
              <w:rPr>
                <w:sz w:val="18"/>
              </w:rPr>
              <w:t>16</w:t>
            </w:r>
          </w:p>
        </w:tc>
        <w:tc>
          <w:tcPr>
            <w:tcW w:type="dxa" w:w="2160"/>
          </w:tcPr>
          <w:p>
            <w:r/>
            <w:r>
              <w:rPr>
                <w:sz w:val="18"/>
              </w:rPr>
              <w:t>99.4% – 102.8%</w:t>
            </w:r>
          </w:p>
        </w:tc>
        <w:tc>
          <w:tcPr>
            <w:tcW w:type="dxa" w:w="1296"/>
          </w:tcPr>
          <w:p>
            <w:r/>
            <w:r>
              <w:rPr>
                <w:sz w:val="18"/>
              </w:rPr>
              <w:t>16/16</w:t>
            </w:r>
          </w:p>
        </w:tc>
        <w:tc>
          <w:tcPr>
            <w:tcW w:type="dxa" w:w="1296"/>
          </w:tcPr>
          <w:p>
            <w:r/>
            <w:r>
              <w:rPr>
                <w:sz w:val="18"/>
              </w:rPr>
              <w:t>16/16</w:t>
            </w:r>
          </w:p>
        </w:tc>
        <w:tc>
          <w:tcPr>
            <w:tcW w:type="dxa" w:w="1440"/>
          </w:tcPr>
          <w:p>
            <w:r/>
            <w:r>
              <w:rPr>
                <w:sz w:val="18"/>
              </w:rPr>
              <w:t>17.4%</w:t>
            </w:r>
          </w:p>
        </w:tc>
      </w:tr>
    </w:tbl>
    <w:p/>
    <w:p>
      <w:r>
        <w:rPr>
          <w:b w:val="0"/>
          <w:i w:val="0"/>
        </w:rPr>
        <w:t>Reading. The nominal LLOQ of 0.05 ng/mL claimed in 4.2.1.1 is not supported by the exports: the 0.0512 ng/mL calibrator meets ±25% of nominal on only 8 of 15 plates and reaches a replicate CV of 63.5%. The lowest level that performs is 0.128 ng/mL. Specification S-3 sets the reportable range accordingly, at 0.128 – 2.0 ng/mL (a 15.6-fold range), and this is the number the response should carry rather than the filed 0.05 ng/mL.</w:t>
      </w:r>
    </w:p>
    <w:p>
      <w:pPr>
        <w:pStyle w:val="Heading2"/>
      </w:pPr>
      <w:r>
        <w:t>4.4 Absolute inter-plate drift</w:t>
      </w:r>
    </w:p>
    <w:p>
      <w:r>
        <w:rPr>
          <w:b w:val="0"/>
          <w:i w:val="0"/>
        </w:rPr>
        <w:t>Mean QC concentration per plate, across the 15 plates carrying the current QC lot:</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2448"/>
          </w:tcPr>
          <w:p>
            <w:r/>
            <w:r>
              <w:rPr>
                <w:b/>
                <w:sz w:val="18"/>
              </w:rPr>
              <w:t>QC material</w:t>
            </w:r>
          </w:p>
        </w:tc>
        <w:tc>
          <w:tcPr>
            <w:tcW w:type="dxa" w:w="1872"/>
          </w:tcPr>
          <w:p>
            <w:r/>
            <w:r>
              <w:rPr>
                <w:b/>
                <w:sz w:val="18"/>
              </w:rPr>
              <w:t>Lowest plate mean</w:t>
            </w:r>
          </w:p>
        </w:tc>
        <w:tc>
          <w:tcPr>
            <w:tcW w:type="dxa" w:w="1872"/>
          </w:tcPr>
          <w:p>
            <w:r/>
            <w:r>
              <w:rPr>
                <w:b/>
                <w:sz w:val="18"/>
              </w:rPr>
              <w:t>Highest plate mean</w:t>
            </w:r>
          </w:p>
        </w:tc>
        <w:tc>
          <w:tcPr>
            <w:tcW w:type="dxa" w:w="1152"/>
          </w:tcPr>
          <w:p>
            <w:r/>
            <w:r>
              <w:rPr>
                <w:b/>
                <w:sz w:val="18"/>
              </w:rPr>
              <w:t>Fold range</w:t>
            </w:r>
          </w:p>
        </w:tc>
        <w:tc>
          <w:tcPr>
            <w:tcW w:type="dxa" w:w="1440"/>
          </w:tcPr>
          <w:p>
            <w:r/>
            <w:r>
              <w:rPr>
                <w:b/>
                <w:sz w:val="18"/>
              </w:rPr>
              <w:t>Across-plate CV</w:t>
            </w:r>
          </w:p>
        </w:tc>
      </w:tr>
      <w:tr>
        <w:tc>
          <w:tcPr>
            <w:tcW w:type="dxa" w:w="2448"/>
          </w:tcPr>
          <w:p>
            <w:r/>
            <w:r>
              <w:rPr>
                <w:sz w:val="18"/>
              </w:rPr>
              <w:t>MoPosHiQC (WT)</w:t>
            </w:r>
          </w:p>
        </w:tc>
        <w:tc>
          <w:tcPr>
            <w:tcW w:type="dxa" w:w="1872"/>
          </w:tcPr>
          <w:p>
            <w:r/>
            <w:r>
              <w:rPr>
                <w:sz w:val="18"/>
              </w:rPr>
              <w:t>97.7 ng/mL</w:t>
            </w:r>
          </w:p>
        </w:tc>
        <w:tc>
          <w:tcPr>
            <w:tcW w:type="dxa" w:w="1872"/>
          </w:tcPr>
          <w:p>
            <w:r/>
            <w:r>
              <w:rPr>
                <w:sz w:val="18"/>
              </w:rPr>
              <w:t>337.1 ng/mL</w:t>
            </w:r>
          </w:p>
        </w:tc>
        <w:tc>
          <w:tcPr>
            <w:tcW w:type="dxa" w:w="1152"/>
          </w:tcPr>
          <w:p>
            <w:r/>
            <w:r>
              <w:rPr>
                <w:sz w:val="18"/>
              </w:rPr>
              <w:t>3.45×</w:t>
            </w:r>
          </w:p>
        </w:tc>
        <w:tc>
          <w:tcPr>
            <w:tcW w:type="dxa" w:w="1440"/>
          </w:tcPr>
          <w:p>
            <w:r/>
            <w:r>
              <w:rPr>
                <w:sz w:val="18"/>
              </w:rPr>
              <w:t>35%</w:t>
            </w:r>
          </w:p>
        </w:tc>
      </w:tr>
      <w:tr>
        <w:tc>
          <w:tcPr>
            <w:tcW w:type="dxa" w:w="2448"/>
          </w:tcPr>
          <w:p>
            <w:r/>
            <w:r>
              <w:rPr>
                <w:sz w:val="18"/>
              </w:rPr>
              <w:t>MoPosMidQC (het KO)</w:t>
            </w:r>
          </w:p>
        </w:tc>
        <w:tc>
          <w:tcPr>
            <w:tcW w:type="dxa" w:w="1872"/>
          </w:tcPr>
          <w:p>
            <w:r/>
            <w:r>
              <w:rPr>
                <w:sz w:val="18"/>
              </w:rPr>
              <w:t>42.5 ng/mL</w:t>
            </w:r>
          </w:p>
        </w:tc>
        <w:tc>
          <w:tcPr>
            <w:tcW w:type="dxa" w:w="1872"/>
          </w:tcPr>
          <w:p>
            <w:r/>
            <w:r>
              <w:rPr>
                <w:sz w:val="18"/>
              </w:rPr>
              <w:t>209.2 ng/mL</w:t>
            </w:r>
          </w:p>
        </w:tc>
        <w:tc>
          <w:tcPr>
            <w:tcW w:type="dxa" w:w="1152"/>
          </w:tcPr>
          <w:p>
            <w:r/>
            <w:r>
              <w:rPr>
                <w:sz w:val="18"/>
              </w:rPr>
              <w:t>4.93×</w:t>
            </w:r>
          </w:p>
        </w:tc>
        <w:tc>
          <w:tcPr>
            <w:tcW w:type="dxa" w:w="1440"/>
          </w:tcPr>
          <w:p>
            <w:r/>
            <w:r>
              <w:rPr>
                <w:sz w:val="18"/>
              </w:rPr>
              <w:t>42%</w:t>
            </w:r>
          </w:p>
        </w:tc>
      </w:tr>
      <w:tr>
        <w:tc>
          <w:tcPr>
            <w:tcW w:type="dxa" w:w="2448"/>
          </w:tcPr>
          <w:p>
            <w:r/>
            <w:r>
              <w:rPr>
                <w:sz w:val="18"/>
              </w:rPr>
              <w:t>MoPosLoQC (10% WT)</w:t>
            </w:r>
          </w:p>
        </w:tc>
        <w:tc>
          <w:tcPr>
            <w:tcW w:type="dxa" w:w="1872"/>
          </w:tcPr>
          <w:p>
            <w:r/>
            <w:r>
              <w:rPr>
                <w:sz w:val="18"/>
              </w:rPr>
              <w:t>11.2 ng/mL</w:t>
            </w:r>
          </w:p>
        </w:tc>
        <w:tc>
          <w:tcPr>
            <w:tcW w:type="dxa" w:w="1872"/>
          </w:tcPr>
          <w:p>
            <w:r/>
            <w:r>
              <w:rPr>
                <w:sz w:val="18"/>
              </w:rPr>
              <w:t>54.8 ng/mL</w:t>
            </w:r>
          </w:p>
        </w:tc>
        <w:tc>
          <w:tcPr>
            <w:tcW w:type="dxa" w:w="1152"/>
          </w:tcPr>
          <w:p>
            <w:r/>
            <w:r>
              <w:rPr>
                <w:sz w:val="18"/>
              </w:rPr>
              <w:t>4.87×</w:t>
            </w:r>
          </w:p>
        </w:tc>
        <w:tc>
          <w:tcPr>
            <w:tcW w:type="dxa" w:w="1440"/>
          </w:tcPr>
          <w:p>
            <w:r/>
            <w:r>
              <w:rPr>
                <w:sz w:val="18"/>
              </w:rPr>
              <w:t>41%</w:t>
            </w:r>
          </w:p>
        </w:tc>
      </w:tr>
    </w:tbl>
    <w:p/>
    <w:p>
      <w:r>
        <w:rPr>
          <w:b w:val="0"/>
          <w:i w:val="0"/>
        </w:rPr>
        <w:t>Expressed instead as a ratio to the on-plate high QC (the qcrel field as supplied), the same controls behave as follows:</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2448"/>
          </w:tcPr>
          <w:p>
            <w:r/>
            <w:r>
              <w:rPr>
                <w:b/>
                <w:sz w:val="18"/>
              </w:rPr>
              <w:t>QC material</w:t>
            </w:r>
          </w:p>
        </w:tc>
        <w:tc>
          <w:tcPr>
            <w:tcW w:type="dxa" w:w="1584"/>
          </w:tcPr>
          <w:p>
            <w:r/>
            <w:r>
              <w:rPr>
                <w:b/>
                <w:sz w:val="18"/>
              </w:rPr>
              <w:t>Median ratio</w:t>
            </w:r>
          </w:p>
        </w:tc>
        <w:tc>
          <w:tcPr>
            <w:tcW w:type="dxa" w:w="2016"/>
          </w:tcPr>
          <w:p>
            <w:r/>
            <w:r>
              <w:rPr>
                <w:b/>
                <w:sz w:val="18"/>
              </w:rPr>
              <w:t>Range</w:t>
            </w:r>
          </w:p>
        </w:tc>
        <w:tc>
          <w:tcPr>
            <w:tcW w:type="dxa" w:w="1440"/>
          </w:tcPr>
          <w:p>
            <w:r/>
            <w:r>
              <w:rPr>
                <w:b/>
                <w:sz w:val="18"/>
              </w:rPr>
              <w:t>Fold</w:t>
            </w:r>
          </w:p>
        </w:tc>
        <w:tc>
          <w:tcPr>
            <w:tcW w:type="dxa" w:w="1440"/>
          </w:tcPr>
          <w:p>
            <w:r/>
            <w:r>
              <w:rPr>
                <w:b/>
                <w:sz w:val="18"/>
              </w:rPr>
              <w:t>CV of ratio</w:t>
            </w:r>
          </w:p>
        </w:tc>
      </w:tr>
      <w:tr>
        <w:tc>
          <w:tcPr>
            <w:tcW w:type="dxa" w:w="2448"/>
          </w:tcPr>
          <w:p>
            <w:r/>
            <w:r>
              <w:rPr>
                <w:sz w:val="18"/>
              </w:rPr>
              <w:t>MoPosHiQC</w:t>
            </w:r>
          </w:p>
        </w:tc>
        <w:tc>
          <w:tcPr>
            <w:tcW w:type="dxa" w:w="1584"/>
          </w:tcPr>
          <w:p>
            <w:r/>
            <w:r>
              <w:rPr>
                <w:sz w:val="18"/>
              </w:rPr>
              <w:t>1.001</w:t>
            </w:r>
          </w:p>
        </w:tc>
        <w:tc>
          <w:tcPr>
            <w:tcW w:type="dxa" w:w="2016"/>
          </w:tcPr>
          <w:p>
            <w:r/>
            <w:r>
              <w:rPr>
                <w:sz w:val="18"/>
              </w:rPr>
              <w:t>0.942 – 1.058</w:t>
            </w:r>
          </w:p>
        </w:tc>
        <w:tc>
          <w:tcPr>
            <w:tcW w:type="dxa" w:w="1440"/>
          </w:tcPr>
          <w:p>
            <w:r/>
            <w:r>
              <w:rPr>
                <w:sz w:val="18"/>
              </w:rPr>
              <w:t>1.12×</w:t>
            </w:r>
          </w:p>
        </w:tc>
        <w:tc>
          <w:tcPr>
            <w:tcW w:type="dxa" w:w="1440"/>
          </w:tcPr>
          <w:p>
            <w:r/>
            <w:r>
              <w:rPr>
                <w:sz w:val="18"/>
              </w:rPr>
              <w:t>2.6%</w:t>
            </w:r>
          </w:p>
        </w:tc>
      </w:tr>
      <w:tr>
        <w:tc>
          <w:tcPr>
            <w:tcW w:type="dxa" w:w="2448"/>
          </w:tcPr>
          <w:p>
            <w:r/>
            <w:r>
              <w:rPr>
                <w:sz w:val="18"/>
              </w:rPr>
              <w:t>MoPosMidQC</w:t>
            </w:r>
          </w:p>
        </w:tc>
        <w:tc>
          <w:tcPr>
            <w:tcW w:type="dxa" w:w="1584"/>
          </w:tcPr>
          <w:p>
            <w:r/>
            <w:r>
              <w:rPr>
                <w:sz w:val="18"/>
              </w:rPr>
              <w:t>0.593</w:t>
            </w:r>
          </w:p>
        </w:tc>
        <w:tc>
          <w:tcPr>
            <w:tcW w:type="dxa" w:w="2016"/>
          </w:tcPr>
          <w:p>
            <w:r/>
            <w:r>
              <w:rPr>
                <w:sz w:val="18"/>
              </w:rPr>
              <w:t>0.372 – 0.771</w:t>
            </w:r>
          </w:p>
        </w:tc>
        <w:tc>
          <w:tcPr>
            <w:tcW w:type="dxa" w:w="1440"/>
          </w:tcPr>
          <w:p>
            <w:r/>
            <w:r>
              <w:rPr>
                <w:sz w:val="18"/>
              </w:rPr>
              <w:t>2.07×</w:t>
            </w:r>
          </w:p>
        </w:tc>
        <w:tc>
          <w:tcPr>
            <w:tcW w:type="dxa" w:w="1440"/>
          </w:tcPr>
          <w:p>
            <w:r/>
            <w:r>
              <w:rPr>
                <w:sz w:val="18"/>
              </w:rPr>
              <w:t>16.0%</w:t>
            </w:r>
          </w:p>
        </w:tc>
      </w:tr>
      <w:tr>
        <w:tc>
          <w:tcPr>
            <w:tcW w:type="dxa" w:w="2448"/>
          </w:tcPr>
          <w:p>
            <w:r/>
            <w:r>
              <w:rPr>
                <w:sz w:val="18"/>
              </w:rPr>
              <w:t>MoPosLoQC</w:t>
            </w:r>
          </w:p>
        </w:tc>
        <w:tc>
          <w:tcPr>
            <w:tcW w:type="dxa" w:w="1584"/>
          </w:tcPr>
          <w:p>
            <w:r/>
            <w:r>
              <w:rPr>
                <w:sz w:val="18"/>
              </w:rPr>
              <w:t>0.163</w:t>
            </w:r>
          </w:p>
        </w:tc>
        <w:tc>
          <w:tcPr>
            <w:tcW w:type="dxa" w:w="2016"/>
          </w:tcPr>
          <w:p>
            <w:r/>
            <w:r>
              <w:rPr>
                <w:sz w:val="18"/>
              </w:rPr>
              <w:t>0.113 – 0.256</w:t>
            </w:r>
          </w:p>
        </w:tc>
        <w:tc>
          <w:tcPr>
            <w:tcW w:type="dxa" w:w="1440"/>
          </w:tcPr>
          <w:p>
            <w:r/>
            <w:r>
              <w:rPr>
                <w:sz w:val="18"/>
              </w:rPr>
              <w:t>2.27×</w:t>
            </w:r>
          </w:p>
        </w:tc>
        <w:tc>
          <w:tcPr>
            <w:tcW w:type="dxa" w:w="1440"/>
          </w:tcPr>
          <w:p>
            <w:r/>
            <w:r>
              <w:rPr>
                <w:sz w:val="18"/>
              </w:rPr>
              <w:t>19.4%</w:t>
            </w:r>
          </w:p>
        </w:tc>
      </w:tr>
      <w:tr>
        <w:tc>
          <w:tcPr>
            <w:tcW w:type="dxa" w:w="2448"/>
          </w:tcPr>
          <w:p>
            <w:r/>
            <w:r>
              <w:rPr>
                <w:sz w:val="18"/>
              </w:rPr>
              <w:t>MoNeg</w:t>
            </w:r>
          </w:p>
        </w:tc>
        <w:tc>
          <w:tcPr>
            <w:tcW w:type="dxa" w:w="1584"/>
          </w:tcPr>
          <w:p>
            <w:r/>
            <w:r>
              <w:rPr>
                <w:sz w:val="18"/>
              </w:rPr>
              <w:t>0.064</w:t>
            </w:r>
          </w:p>
        </w:tc>
        <w:tc>
          <w:tcPr>
            <w:tcW w:type="dxa" w:w="2016"/>
          </w:tcPr>
          <w:p>
            <w:r/>
            <w:r>
              <w:rPr>
                <w:sz w:val="18"/>
              </w:rPr>
              <w:t>0.007 – 0.129</w:t>
            </w:r>
          </w:p>
        </w:tc>
        <w:tc>
          <w:tcPr>
            <w:tcW w:type="dxa" w:w="1440"/>
          </w:tcPr>
          <w:p>
            <w:r/>
            <w:r>
              <w:rPr>
                <w:sz w:val="18"/>
              </w:rPr>
              <w:t>— (at/below floor)</w:t>
            </w:r>
          </w:p>
        </w:tc>
        <w:tc>
          <w:tcPr>
            <w:tcW w:type="dxa" w:w="1440"/>
          </w:tcPr>
          <w:p>
            <w:r/>
            <w:r>
              <w:rPr>
                <w:sz w:val="18"/>
              </w:rPr>
              <w:t>39.9%</w:t>
            </w:r>
          </w:p>
        </w:tc>
      </w:tr>
    </w:tbl>
    <w:p/>
    <w:p>
      <w:r>
        <w:rPr>
          <w:b w:val="0"/>
          <w:i w:val="0"/>
        </w:rPr>
        <w:t>Reading. Normalizing to an on-plate control removes most, but not all, of the drift. The high QC is reproducible to 2.6% once normalized — but it is the normalizer, so that number is close to tautological. The materials that test the method where it matters do not follow: two controls of fixed physical composition (a heterozygous-knockout homogenate and a 10%-WT mixture) vary by 2.07-fold and 2.27-fold in their normalized response across runs, with CVs of 16.0% and 19.4%. That is the honest analytical precision of this platform at the middle and bottom of its range, and it is one to two times the 10% effect size the filed protocol is powered to detect. The 9.0% figure in §8.2.2 of the protocol is a within-subject biological test-retest CV from the natural-history cohort, not an analytical precision estimate, and it cannot be offered as one (see §5, item 3).</w:t>
      </w:r>
    </w:p>
    <w:p>
      <w:pPr>
        <w:pStyle w:val="Heading2"/>
      </w:pPr>
      <w:r>
        <w:t>4.5 Critical-reagent lot bridge — already failed once, on the record</w:t>
      </w:r>
    </w:p>
    <w:p>
      <w:r>
        <w:rPr>
          <w:b w:val="0"/>
          <w:i w:val="0"/>
        </w:rPr>
        <w:t>Plate 114 (study CMR-2198) is the one run in the exports on which two QC pool lots were placed side by side. It is a completed lot-bridging experiment, and it did not bridge:</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18"/>
              </w:rPr>
              <w:t>Material</w:t>
            </w:r>
          </w:p>
        </w:tc>
        <w:tc>
          <w:tcPr>
            <w:tcW w:type="dxa" w:w="2016"/>
          </w:tcPr>
          <w:p>
            <w:r/>
            <w:r>
              <w:rPr>
                <w:b/>
                <w:sz w:val="18"/>
              </w:rPr>
              <w:t>Current lot</w:t>
            </w:r>
          </w:p>
        </w:tc>
        <w:tc>
          <w:tcPr>
            <w:tcW w:type="dxa" w:w="2016"/>
          </w:tcPr>
          <w:p>
            <w:r/>
            <w:r>
              <w:rPr>
                <w:b/>
                <w:sz w:val="18"/>
              </w:rPr>
              <w:t>"Old" lot</w:t>
            </w:r>
          </w:p>
        </w:tc>
        <w:tc>
          <w:tcPr>
            <w:tcW w:type="dxa" w:w="1728"/>
          </w:tcPr>
          <w:p>
            <w:r/>
            <w:r>
              <w:rPr>
                <w:b/>
                <w:sz w:val="18"/>
              </w:rPr>
              <w:t>Difference</w:t>
            </w:r>
          </w:p>
        </w:tc>
      </w:tr>
      <w:tr>
        <w:tc>
          <w:tcPr>
            <w:tcW w:type="dxa" w:w="2160"/>
          </w:tcPr>
          <w:p>
            <w:r/>
            <w:r>
              <w:rPr>
                <w:sz w:val="18"/>
              </w:rPr>
              <w:t>MoPosHiQC</w:t>
            </w:r>
          </w:p>
        </w:tc>
        <w:tc>
          <w:tcPr>
            <w:tcW w:type="dxa" w:w="2016"/>
          </w:tcPr>
          <w:p>
            <w:r/>
            <w:r>
              <w:rPr>
                <w:sz w:val="18"/>
              </w:rPr>
              <w:t>205.58 ng/mL</w:t>
            </w:r>
          </w:p>
        </w:tc>
        <w:tc>
          <w:tcPr>
            <w:tcW w:type="dxa" w:w="2016"/>
          </w:tcPr>
          <w:p>
            <w:r/>
            <w:r>
              <w:rPr>
                <w:sz w:val="18"/>
              </w:rPr>
              <w:t>292.38 ng/mL</w:t>
            </w:r>
          </w:p>
        </w:tc>
        <w:tc>
          <w:tcPr>
            <w:tcW w:type="dxa" w:w="1728"/>
          </w:tcPr>
          <w:p>
            <w:r/>
            <w:r>
              <w:rPr>
                <w:sz w:val="18"/>
              </w:rPr>
              <w:t>+42.2%</w:t>
            </w:r>
          </w:p>
        </w:tc>
      </w:tr>
      <w:tr>
        <w:tc>
          <w:tcPr>
            <w:tcW w:type="dxa" w:w="2160"/>
          </w:tcPr>
          <w:p>
            <w:r/>
            <w:r>
              <w:rPr>
                <w:sz w:val="18"/>
              </w:rPr>
              <w:t>MoPosMidQC</w:t>
            </w:r>
          </w:p>
        </w:tc>
        <w:tc>
          <w:tcPr>
            <w:tcW w:type="dxa" w:w="2016"/>
          </w:tcPr>
          <w:p>
            <w:r/>
            <w:r>
              <w:rPr>
                <w:sz w:val="18"/>
              </w:rPr>
              <w:t>114.13 ng/mL</w:t>
            </w:r>
          </w:p>
        </w:tc>
        <w:tc>
          <w:tcPr>
            <w:tcW w:type="dxa" w:w="2016"/>
          </w:tcPr>
          <w:p>
            <w:r/>
            <w:r>
              <w:rPr>
                <w:sz w:val="18"/>
              </w:rPr>
              <w:t>140.69 ng/mL</w:t>
            </w:r>
          </w:p>
        </w:tc>
        <w:tc>
          <w:tcPr>
            <w:tcW w:type="dxa" w:w="1728"/>
          </w:tcPr>
          <w:p>
            <w:r/>
            <w:r>
              <w:rPr>
                <w:sz w:val="18"/>
              </w:rPr>
              <w:t>+23.3%</w:t>
            </w:r>
          </w:p>
        </w:tc>
      </w:tr>
      <w:tr>
        <w:tc>
          <w:tcPr>
            <w:tcW w:type="dxa" w:w="2160"/>
          </w:tcPr>
          <w:p>
            <w:r/>
            <w:r>
              <w:rPr>
                <w:sz w:val="18"/>
              </w:rPr>
              <w:t>MoPosLoQC</w:t>
            </w:r>
          </w:p>
        </w:tc>
        <w:tc>
          <w:tcPr>
            <w:tcW w:type="dxa" w:w="2016"/>
          </w:tcPr>
          <w:p>
            <w:r/>
            <w:r>
              <w:rPr>
                <w:sz w:val="18"/>
              </w:rPr>
              <w:t>30.52 ng/mL</w:t>
            </w:r>
          </w:p>
        </w:tc>
        <w:tc>
          <w:tcPr>
            <w:tcW w:type="dxa" w:w="2016"/>
          </w:tcPr>
          <w:p>
            <w:r/>
            <w:r>
              <w:rPr>
                <w:sz w:val="18"/>
              </w:rPr>
              <w:t>41.48 ng/mL</w:t>
            </w:r>
          </w:p>
        </w:tc>
        <w:tc>
          <w:tcPr>
            <w:tcW w:type="dxa" w:w="1728"/>
          </w:tcPr>
          <w:p>
            <w:r/>
            <w:r>
              <w:rPr>
                <w:sz w:val="18"/>
              </w:rPr>
              <w:t>+35.9%</w:t>
            </w:r>
          </w:p>
        </w:tc>
      </w:tr>
      <w:tr>
        <w:tc>
          <w:tcPr>
            <w:tcW w:type="dxa" w:w="2160"/>
          </w:tcPr>
          <w:p>
            <w:r/>
            <w:r>
              <w:rPr>
                <w:sz w:val="18"/>
              </w:rPr>
              <w:t>MoNeg</w:t>
            </w:r>
          </w:p>
        </w:tc>
        <w:tc>
          <w:tcPr>
            <w:tcW w:type="dxa" w:w="2016"/>
          </w:tcPr>
          <w:p>
            <w:r/>
            <w:r>
              <w:rPr>
                <w:sz w:val="18"/>
              </w:rPr>
              <w:t>&lt;LLQ</w:t>
            </w:r>
          </w:p>
        </w:tc>
        <w:tc>
          <w:tcPr>
            <w:tcW w:type="dxa" w:w="2016"/>
          </w:tcPr>
          <w:p>
            <w:r/>
            <w:r>
              <w:rPr>
                <w:sz w:val="18"/>
              </w:rPr>
              <w:t>&lt;LLQ</w:t>
            </w:r>
          </w:p>
        </w:tc>
        <w:tc>
          <w:tcPr>
            <w:tcW w:type="dxa" w:w="1728"/>
          </w:tcPr>
          <w:p>
            <w:r/>
            <w:r>
              <w:rPr>
                <w:sz w:val="18"/>
              </w:rPr>
              <w:t>not evaluable</w:t>
            </w:r>
          </w:p>
        </w:tc>
      </w:tr>
    </w:tbl>
    <w:p/>
    <w:p>
      <w:r>
        <w:rPr>
          <w:b w:val="0"/>
          <w:i w:val="0"/>
        </w:rPr>
        <w:t>Reading. A 23% to 42% step change on a single plate, in the same run, with the same calibrator curve and the same analyst, isolates the effect to the control material itself. Reagent and control lot changes therefore move this assay by more than the effect it is being asked to measure. In a clinical study running 24 weeks per subject, a reagent lot change is not a hypothetical: it is close to certain. This is the single finding most likely to draw an information request, and it is why S-2 (critical-reagent control) is written as a hard gate rather than a monitoring commitment.</w:t>
      </w:r>
    </w:p>
    <w:p>
      <w:pPr>
        <w:pStyle w:val="Heading2"/>
      </w:pPr>
      <w:r>
        <w:t>4.6 Within-plate positional bias</w:t>
      </w:r>
    </w:p>
    <w:p>
      <w:r>
        <w:rPr>
          <w:b w:val="0"/>
          <w:i w:val="0"/>
        </w:rPr>
        <w:t>Three plates carry QCs deliberately placed at both the top and the bottom of the plate:</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864"/>
          </w:tcPr>
          <w:p>
            <w:r/>
            <w:r>
              <w:rPr>
                <w:b/>
                <w:sz w:val="18"/>
              </w:rPr>
              <w:t>Plate</w:t>
            </w:r>
          </w:p>
        </w:tc>
        <w:tc>
          <w:tcPr>
            <w:tcW w:type="dxa" w:w="2736"/>
          </w:tcPr>
          <w:p>
            <w:r/>
            <w:r>
              <w:rPr>
                <w:b/>
                <w:sz w:val="18"/>
              </w:rPr>
              <w:t>High QC top vs bottom</w:t>
            </w:r>
          </w:p>
        </w:tc>
        <w:tc>
          <w:tcPr>
            <w:tcW w:type="dxa" w:w="2736"/>
          </w:tcPr>
          <w:p>
            <w:r/>
            <w:r>
              <w:rPr>
                <w:b/>
                <w:sz w:val="18"/>
              </w:rPr>
              <w:t>Mid QC top vs bottom</w:t>
            </w:r>
          </w:p>
        </w:tc>
        <w:tc>
          <w:tcPr>
            <w:tcW w:type="dxa" w:w="2736"/>
          </w:tcPr>
          <w:p>
            <w:r/>
            <w:r>
              <w:rPr>
                <w:b/>
                <w:sz w:val="18"/>
              </w:rPr>
              <w:t>Low QC top vs bottom</w:t>
            </w:r>
          </w:p>
        </w:tc>
      </w:tr>
      <w:tr>
        <w:tc>
          <w:tcPr>
            <w:tcW w:type="dxa" w:w="864"/>
          </w:tcPr>
          <w:p>
            <w:r/>
            <w:r>
              <w:rPr>
                <w:sz w:val="18"/>
              </w:rPr>
              <w:t>85</w:t>
            </w:r>
          </w:p>
        </w:tc>
        <w:tc>
          <w:tcPr>
            <w:tcW w:type="dxa" w:w="2736"/>
          </w:tcPr>
          <w:p>
            <w:r/>
            <w:r>
              <w:rPr>
                <w:sz w:val="18"/>
              </w:rPr>
              <w:t>156.80 / 164.75 (+5.1%)</w:t>
            </w:r>
          </w:p>
        </w:tc>
        <w:tc>
          <w:tcPr>
            <w:tcW w:type="dxa" w:w="2736"/>
          </w:tcPr>
          <w:p>
            <w:r/>
            <w:r>
              <w:rPr>
                <w:sz w:val="18"/>
              </w:rPr>
              <w:t>115.72 / 119.43 (+3.2%)</w:t>
            </w:r>
          </w:p>
        </w:tc>
        <w:tc>
          <w:tcPr>
            <w:tcW w:type="dxa" w:w="2736"/>
          </w:tcPr>
          <w:p>
            <w:r/>
            <w:r>
              <w:rPr>
                <w:sz w:val="18"/>
              </w:rPr>
              <w:t>25.86 / 29.63 (+14.6%)</w:t>
            </w:r>
          </w:p>
        </w:tc>
      </w:tr>
      <w:tr>
        <w:tc>
          <w:tcPr>
            <w:tcW w:type="dxa" w:w="864"/>
          </w:tcPr>
          <w:p>
            <w:r/>
            <w:r>
              <w:rPr>
                <w:sz w:val="18"/>
              </w:rPr>
              <w:t>87</w:t>
            </w:r>
          </w:p>
        </w:tc>
        <w:tc>
          <w:tcPr>
            <w:tcW w:type="dxa" w:w="2736"/>
          </w:tcPr>
          <w:p>
            <w:r/>
            <w:r>
              <w:rPr>
                <w:sz w:val="18"/>
              </w:rPr>
              <w:t>239.29 / 246.80 (+3.1%)</w:t>
            </w:r>
          </w:p>
        </w:tc>
        <w:tc>
          <w:tcPr>
            <w:tcW w:type="dxa" w:w="2736"/>
          </w:tcPr>
          <w:p>
            <w:r/>
            <w:r>
              <w:rPr>
                <w:sz w:val="18"/>
              </w:rPr>
              <w:t>147.32 / 172.21 (+16.9%)</w:t>
            </w:r>
          </w:p>
        </w:tc>
        <w:tc>
          <w:tcPr>
            <w:tcW w:type="dxa" w:w="2736"/>
          </w:tcPr>
          <w:p>
            <w:r/>
            <w:r>
              <w:rPr>
                <w:sz w:val="18"/>
              </w:rPr>
              <w:t>47.23 / 60.67 (+28.5%)</w:t>
            </w:r>
          </w:p>
        </w:tc>
      </w:tr>
      <w:tr>
        <w:tc>
          <w:tcPr>
            <w:tcW w:type="dxa" w:w="864"/>
          </w:tcPr>
          <w:p>
            <w:r/>
            <w:r>
              <w:rPr>
                <w:sz w:val="18"/>
              </w:rPr>
              <w:t>88</w:t>
            </w:r>
          </w:p>
        </w:tc>
        <w:tc>
          <w:tcPr>
            <w:tcW w:type="dxa" w:w="2736"/>
          </w:tcPr>
          <w:p>
            <w:r/>
            <w:r>
              <w:rPr>
                <w:sz w:val="18"/>
              </w:rPr>
              <w:t>337.09 / 331.02 (–1.8%)</w:t>
            </w:r>
          </w:p>
        </w:tc>
        <w:tc>
          <w:tcPr>
            <w:tcW w:type="dxa" w:w="2736"/>
          </w:tcPr>
          <w:p>
            <w:r/>
            <w:r>
              <w:rPr>
                <w:sz w:val="18"/>
              </w:rPr>
              <w:t>209.16 / 208.82 (–0.2%)</w:t>
            </w:r>
          </w:p>
        </w:tc>
        <w:tc>
          <w:tcPr>
            <w:tcW w:type="dxa" w:w="2736"/>
          </w:tcPr>
          <w:p>
            <w:r/>
            <w:r>
              <w:rPr>
                <w:sz w:val="18"/>
              </w:rPr>
              <w:t>54.81 / 53.29 (–2.8%)</w:t>
            </w:r>
          </w:p>
        </w:tc>
      </w:tr>
    </w:tbl>
    <w:p/>
    <w:p>
      <w:r>
        <w:rPr>
          <w:b w:val="0"/>
          <w:i w:val="0"/>
        </w:rPr>
        <w:t>Reading. Positional bias is plate-dependent and largest at the low end of the range, reaching +28.5% on plate 87. It is absent on plate 88. An assay with an unpredictable 0–29% edge effect cannot place a subject’s baseline well and their Week-4 well at arbitrary plate positions. S-3 therefore fixes plate layout and requires positional controls on every clinical plate; S-5 requires paired specimens to be adjacent.</w:t>
      </w:r>
    </w:p>
    <w:p>
      <w:pPr>
        <w:pStyle w:val="Heading2"/>
      </w:pPr>
      <w:r>
        <w:t>4.7 The only reanalysis data that exist</w:t>
      </w:r>
    </w:p>
    <w:p>
      <w:r>
        <w:rPr>
          <w:b w:val="0"/>
          <w:i w:val="0"/>
        </w:rPr>
        <w:t>Twelve aliquots from study CMR-1313 were measured on two plates (43 and 44). This is the closest analogue to incurred-sample reanalysis anywhere on the desk, and the only cross-run reproducibility data we hold for this method in any matrix:</w:t>
      </w:r>
    </w:p>
    <w:tbl>
      <w:tblPr>
        <w:tblStyle w:val="LightGrid-Accent1"/>
        <w:tblW w:type="auto" w:w="0"/>
        <w:jc w:val="center"/>
        <w:tblLook w:firstColumn="1" w:firstRow="1" w:lastColumn="0" w:lastRow="0" w:noHBand="0" w:noVBand="1" w:val="04A0"/>
      </w:tblPr>
      <w:tblGrid>
        <w:gridCol w:w="4320"/>
        <w:gridCol w:w="4320"/>
      </w:tblGrid>
      <w:tr>
        <w:tc>
          <w:tcPr>
            <w:tcW w:type="dxa" w:w="4608"/>
          </w:tcPr>
          <w:p>
            <w:r/>
            <w:r>
              <w:rPr>
                <w:b/>
                <w:sz w:val="18"/>
              </w:rPr>
              <w:t>Metric</w:t>
            </w:r>
          </w:p>
        </w:tc>
        <w:tc>
          <w:tcPr>
            <w:tcW w:type="dxa" w:w="4752"/>
          </w:tcPr>
          <w:p>
            <w:r/>
            <w:r>
              <w:rPr>
                <w:b/>
                <w:sz w:val="18"/>
              </w:rPr>
              <w:t>Value</w:t>
            </w:r>
          </w:p>
        </w:tc>
      </w:tr>
      <w:tr>
        <w:tc>
          <w:tcPr>
            <w:tcW w:type="dxa" w:w="4608"/>
          </w:tcPr>
          <w:p>
            <w:r/>
            <w:r>
              <w:rPr>
                <w:sz w:val="18"/>
              </w:rPr>
              <w:t>Pairs</w:t>
            </w:r>
          </w:p>
        </w:tc>
        <w:tc>
          <w:tcPr>
            <w:tcW w:type="dxa" w:w="4752"/>
          </w:tcPr>
          <w:p>
            <w:r/>
            <w:r>
              <w:rPr>
                <w:sz w:val="18"/>
              </w:rPr>
              <w:t>12</w:t>
            </w:r>
          </w:p>
        </w:tc>
      </w:tr>
      <w:tr>
        <w:tc>
          <w:tcPr>
            <w:tcW w:type="dxa" w:w="4608"/>
          </w:tcPr>
          <w:p>
            <w:r/>
            <w:r>
              <w:rPr>
                <w:sz w:val="18"/>
              </w:rPr>
              <w:t>Median absolute difference from pair mean</w:t>
            </w:r>
          </w:p>
        </w:tc>
        <w:tc>
          <w:tcPr>
            <w:tcW w:type="dxa" w:w="4752"/>
          </w:tcPr>
          <w:p>
            <w:r/>
            <w:r>
              <w:rPr>
                <w:sz w:val="18"/>
              </w:rPr>
              <w:t>16.0%</w:t>
            </w:r>
          </w:p>
        </w:tc>
      </w:tr>
      <w:tr>
        <w:tc>
          <w:tcPr>
            <w:tcW w:type="dxa" w:w="4608"/>
          </w:tcPr>
          <w:p>
            <w:r/>
            <w:r>
              <w:rPr>
                <w:sz w:val="18"/>
              </w:rPr>
              <w:t>Mean absolute difference</w:t>
            </w:r>
          </w:p>
        </w:tc>
        <w:tc>
          <w:tcPr>
            <w:tcW w:type="dxa" w:w="4752"/>
          </w:tcPr>
          <w:p>
            <w:r/>
            <w:r>
              <w:rPr>
                <w:sz w:val="18"/>
              </w:rPr>
              <w:t>18.0%</w:t>
            </w:r>
          </w:p>
        </w:tc>
      </w:tr>
      <w:tr>
        <w:tc>
          <w:tcPr>
            <w:tcW w:type="dxa" w:w="4608"/>
          </w:tcPr>
          <w:p>
            <w:r/>
            <w:r>
              <w:rPr>
                <w:sz w:val="18"/>
              </w:rPr>
              <w:t>Maximum absolute difference</w:t>
            </w:r>
          </w:p>
        </w:tc>
        <w:tc>
          <w:tcPr>
            <w:tcW w:type="dxa" w:w="4752"/>
          </w:tcPr>
          <w:p>
            <w:r/>
            <w:r>
              <w:rPr>
                <w:sz w:val="18"/>
              </w:rPr>
              <w:t>27.9%</w:t>
            </w:r>
          </w:p>
        </w:tc>
      </w:tr>
      <w:tr>
        <w:tc>
          <w:tcPr>
            <w:tcW w:type="dxa" w:w="4608"/>
          </w:tcPr>
          <w:p>
            <w:r/>
            <w:r>
              <w:rPr>
                <w:sz w:val="18"/>
              </w:rPr>
              <w:t>Pairs within ±20%</w:t>
            </w:r>
          </w:p>
        </w:tc>
        <w:tc>
          <w:tcPr>
            <w:tcW w:type="dxa" w:w="4752"/>
          </w:tcPr>
          <w:p>
            <w:r/>
            <w:r>
              <w:rPr>
                <w:sz w:val="18"/>
              </w:rPr>
              <w:t>7 of 12 (58%)</w:t>
            </w:r>
          </w:p>
        </w:tc>
      </w:tr>
      <w:tr>
        <w:tc>
          <w:tcPr>
            <w:tcW w:type="dxa" w:w="4608"/>
          </w:tcPr>
          <w:p>
            <w:r/>
            <w:r>
              <w:rPr>
                <w:sz w:val="18"/>
              </w:rPr>
              <w:t>Pairs within ±30%</w:t>
            </w:r>
          </w:p>
        </w:tc>
        <w:tc>
          <w:tcPr>
            <w:tcW w:type="dxa" w:w="4752"/>
          </w:tcPr>
          <w:p>
            <w:r/>
            <w:r>
              <w:rPr>
                <w:sz w:val="18"/>
              </w:rPr>
              <w:t>12 of 12 (100%)</w:t>
            </w:r>
          </w:p>
        </w:tc>
      </w:tr>
      <w:tr>
        <w:tc>
          <w:tcPr>
            <w:tcW w:type="dxa" w:w="4608"/>
          </w:tcPr>
          <w:p>
            <w:r/>
            <w:r>
              <w:rPr>
                <w:sz w:val="18"/>
              </w:rPr>
              <w:t>Direction of difference</w:t>
            </w:r>
          </w:p>
        </w:tc>
        <w:tc>
          <w:tcPr>
            <w:tcW w:type="dxa" w:w="4752"/>
          </w:tcPr>
          <w:p>
            <w:r/>
            <w:r>
              <w:rPr>
                <w:sz w:val="18"/>
              </w:rPr>
              <w:t>12 of 12 higher on plate 44</w:t>
            </w:r>
          </w:p>
        </w:tc>
      </w:tr>
      <w:tr>
        <w:tc>
          <w:tcPr>
            <w:tcW w:type="dxa" w:w="4608"/>
          </w:tcPr>
          <w:p>
            <w:r/>
            <w:r>
              <w:rPr>
                <w:sz w:val="18"/>
              </w:rPr>
              <w:t>Geometric mean plate-44 / plate-43 ratio</w:t>
            </w:r>
          </w:p>
        </w:tc>
        <w:tc>
          <w:tcPr>
            <w:tcW w:type="dxa" w:w="4752"/>
          </w:tcPr>
          <w:p>
            <w:r/>
            <w:r>
              <w:rPr>
                <w:sz w:val="18"/>
              </w:rPr>
              <w:t>1.197 (i.e. a 19.7% systematic between-run bias)</w:t>
            </w:r>
          </w:p>
        </w:tc>
      </w:tr>
    </w:tbl>
    <w:p/>
    <w:p>
      <w:r>
        <w:rPr>
          <w:b w:val="0"/>
          <w:i w:val="0"/>
        </w:rPr>
        <w:t>Reading, stated carefully because the arithmetic cuts both ways. Judged against the FDA ligand-binding-assay ISR criterion (at least two-thirds of repeats within 30% of the mean), this set passes: 12 of 12. That is a real and reportable result and the response should say so. But the ISR criterion is built to detect random irreproducibility, and the failure mode here is not random. All twelve differences point the same way, and their geometric mean is a 19.7% between-run bias. A directional 20% shift passes ISR and would still swamp a 10% pharmacodynamic effect measured across two runs. This is why S-4 pairs an ISR criterion with a bias criterion, and why S-5 exists at all.</w:t>
      </w:r>
    </w:p>
    <w:p>
      <w:r>
        <w:rPr>
          <w:b w:val="0"/>
          <w:i/>
        </w:rPr>
        <w:t>Note also that these twelve pairs are mouse brain homogenate. No incurred-sample reanalysis data exist for this method in CSF, in any species, and none exist in human specimens of any kind.</w:t>
      </w:r>
    </w:p>
    <w:p>
      <w:pPr>
        <w:pStyle w:val="Heading2"/>
      </w:pPr>
      <w:r>
        <w:t>4.8 Retrospective test of the proposed run-acceptance rule</w:t>
      </w:r>
    </w:p>
    <w:p>
      <w:r>
        <w:rPr>
          <w:b w:val="0"/>
          <w:i w:val="0"/>
        </w:rPr>
        <w:t>We applied the numeric rule proposed in S-3 retrospectively to all 16 plates, to establish what it costs and to demonstrate to the Agency that the rule discriminates rather than rubber-stamps. Ten of 16 runs (62%) would have been accepted:</w:t>
      </w:r>
    </w:p>
    <w:tbl>
      <w:tblPr>
        <w:tblStyle w:val="LightGrid-Accent1"/>
        <w:tblW w:type="auto" w:w="0"/>
        <w:jc w:val="center"/>
        <w:tblLook w:firstColumn="1" w:firstRow="1" w:lastColumn="0" w:lastRow="0" w:noHBand="0" w:noVBand="1" w:val="04A0"/>
      </w:tblPr>
      <w:tblGrid>
        <w:gridCol w:w="2880"/>
        <w:gridCol w:w="2880"/>
        <w:gridCol w:w="2880"/>
      </w:tblGrid>
      <w:tr>
        <w:tc>
          <w:tcPr>
            <w:tcW w:type="dxa" w:w="3168"/>
          </w:tcPr>
          <w:p>
            <w:r/>
            <w:r>
              <w:rPr>
                <w:b/>
                <w:sz w:val="18"/>
              </w:rPr>
              <w:t>Plate</w:t>
            </w:r>
          </w:p>
        </w:tc>
        <w:tc>
          <w:tcPr>
            <w:tcW w:type="dxa" w:w="1872"/>
          </w:tcPr>
          <w:p>
            <w:r/>
            <w:r>
              <w:rPr>
                <w:b/>
                <w:sz w:val="18"/>
              </w:rPr>
              <w:t>Disposition under S-3</w:t>
            </w:r>
          </w:p>
        </w:tc>
        <w:tc>
          <w:tcPr>
            <w:tcW w:type="dxa" w:w="4320"/>
          </w:tcPr>
          <w:p>
            <w:r/>
            <w:r>
              <w:rPr>
                <w:b/>
                <w:sz w:val="18"/>
              </w:rPr>
              <w:t>Failing parameter</w:t>
            </w:r>
          </w:p>
        </w:tc>
      </w:tr>
      <w:tr>
        <w:tc>
          <w:tcPr>
            <w:tcW w:type="dxa" w:w="3168"/>
          </w:tcPr>
          <w:p>
            <w:r/>
            <w:r>
              <w:rPr>
                <w:sz w:val="18"/>
              </w:rPr>
              <w:t>43, 49, 50, 64, 88, 106, 114, 124, 126, 138</w:t>
            </w:r>
          </w:p>
        </w:tc>
        <w:tc>
          <w:tcPr>
            <w:tcW w:type="dxa" w:w="1872"/>
          </w:tcPr>
          <w:p>
            <w:r/>
            <w:r>
              <w:rPr>
                <w:sz w:val="18"/>
              </w:rPr>
              <w:t>ACCEPT (10 runs)</w:t>
            </w:r>
          </w:p>
        </w:tc>
        <w:tc>
          <w:tcPr>
            <w:tcW w:type="dxa" w:w="4320"/>
          </w:tcPr>
          <w:p>
            <w:r/>
            <w:r>
              <w:rPr>
                <w:sz w:val="18"/>
              </w:rPr>
              <w:t>—</w:t>
            </w:r>
          </w:p>
        </w:tc>
      </w:tr>
      <w:tr>
        <w:tc>
          <w:tcPr>
            <w:tcW w:type="dxa" w:w="3168"/>
          </w:tcPr>
          <w:p>
            <w:r/>
            <w:r>
              <w:rPr>
                <w:sz w:val="18"/>
              </w:rPr>
              <w:t>44</w:t>
            </w:r>
          </w:p>
        </w:tc>
        <w:tc>
          <w:tcPr>
            <w:tcW w:type="dxa" w:w="1872"/>
          </w:tcPr>
          <w:p>
            <w:r/>
            <w:r>
              <w:rPr>
                <w:sz w:val="18"/>
              </w:rPr>
              <w:t>REJECT</w:t>
            </w:r>
          </w:p>
        </w:tc>
        <w:tc>
          <w:tcPr>
            <w:tcW w:type="dxa" w:w="4320"/>
          </w:tcPr>
          <w:p>
            <w:r/>
            <w:r>
              <w:rPr>
                <w:sz w:val="18"/>
              </w:rPr>
              <w:t>Low QC replicate CV 28.1% (limit 20%)</w:t>
            </w:r>
          </w:p>
        </w:tc>
      </w:tr>
      <w:tr>
        <w:tc>
          <w:tcPr>
            <w:tcW w:type="dxa" w:w="3168"/>
          </w:tcPr>
          <w:p>
            <w:r/>
            <w:r>
              <w:rPr>
                <w:sz w:val="18"/>
              </w:rPr>
              <w:t>53</w:t>
            </w:r>
          </w:p>
        </w:tc>
        <w:tc>
          <w:tcPr>
            <w:tcW w:type="dxa" w:w="1872"/>
          </w:tcPr>
          <w:p>
            <w:r/>
            <w:r>
              <w:rPr>
                <w:sz w:val="18"/>
              </w:rPr>
              <w:t>REJECT</w:t>
            </w:r>
          </w:p>
        </w:tc>
        <w:tc>
          <w:tcPr>
            <w:tcW w:type="dxa" w:w="4320"/>
          </w:tcPr>
          <w:p>
            <w:r/>
            <w:r>
              <w:rPr>
                <w:sz w:val="18"/>
              </w:rPr>
              <w:t>Calibrator 0.128 = 69% of nominal; calibrator 0.32 = 128% of nominal</w:t>
            </w:r>
          </w:p>
        </w:tc>
      </w:tr>
      <w:tr>
        <w:tc>
          <w:tcPr>
            <w:tcW w:type="dxa" w:w="3168"/>
          </w:tcPr>
          <w:p>
            <w:r/>
            <w:r>
              <w:rPr>
                <w:sz w:val="18"/>
              </w:rPr>
              <w:t>84</w:t>
            </w:r>
          </w:p>
        </w:tc>
        <w:tc>
          <w:tcPr>
            <w:tcW w:type="dxa" w:w="1872"/>
          </w:tcPr>
          <w:p>
            <w:r/>
            <w:r>
              <w:rPr>
                <w:sz w:val="18"/>
              </w:rPr>
              <w:t>REJECT</w:t>
            </w:r>
          </w:p>
        </w:tc>
        <w:tc>
          <w:tcPr>
            <w:tcW w:type="dxa" w:w="4320"/>
          </w:tcPr>
          <w:p>
            <w:r/>
            <w:r>
              <w:rPr>
                <w:sz w:val="18"/>
              </w:rPr>
              <w:t>Calibrator 0.32 = 133% of nominal; Mid QC ratio 0.763 = 129% of target</w:t>
            </w:r>
          </w:p>
        </w:tc>
      </w:tr>
      <w:tr>
        <w:tc>
          <w:tcPr>
            <w:tcW w:type="dxa" w:w="3168"/>
          </w:tcPr>
          <w:p>
            <w:r/>
            <w:r>
              <w:rPr>
                <w:sz w:val="18"/>
              </w:rPr>
              <w:t>85</w:t>
            </w:r>
          </w:p>
        </w:tc>
        <w:tc>
          <w:tcPr>
            <w:tcW w:type="dxa" w:w="1872"/>
          </w:tcPr>
          <w:p>
            <w:r/>
            <w:r>
              <w:rPr>
                <w:sz w:val="18"/>
              </w:rPr>
              <w:t>REJECT</w:t>
            </w:r>
          </w:p>
        </w:tc>
        <w:tc>
          <w:tcPr>
            <w:tcW w:type="dxa" w:w="4320"/>
          </w:tcPr>
          <w:p>
            <w:r/>
            <w:r>
              <w:rPr>
                <w:sz w:val="18"/>
              </w:rPr>
              <w:t>Mid QC ratio 0.731 = 123% of target</w:t>
            </w:r>
          </w:p>
        </w:tc>
      </w:tr>
      <w:tr>
        <w:tc>
          <w:tcPr>
            <w:tcW w:type="dxa" w:w="3168"/>
          </w:tcPr>
          <w:p>
            <w:r/>
            <w:r>
              <w:rPr>
                <w:sz w:val="18"/>
              </w:rPr>
              <w:t>87</w:t>
            </w:r>
          </w:p>
        </w:tc>
        <w:tc>
          <w:tcPr>
            <w:tcW w:type="dxa" w:w="1872"/>
          </w:tcPr>
          <w:p>
            <w:r/>
            <w:r>
              <w:rPr>
                <w:sz w:val="18"/>
              </w:rPr>
              <w:t>REJECT</w:t>
            </w:r>
          </w:p>
        </w:tc>
        <w:tc>
          <w:tcPr>
            <w:tcW w:type="dxa" w:w="4320"/>
          </w:tcPr>
          <w:p>
            <w:r/>
            <w:r>
              <w:rPr>
                <w:sz w:val="18"/>
              </w:rPr>
              <w:t>Low QC ratio 0.225 = 138% of target</w:t>
            </w:r>
          </w:p>
        </w:tc>
      </w:tr>
      <w:tr>
        <w:tc>
          <w:tcPr>
            <w:tcW w:type="dxa" w:w="3168"/>
          </w:tcPr>
          <w:p>
            <w:r/>
            <w:r>
              <w:rPr>
                <w:sz w:val="18"/>
              </w:rPr>
              <w:t>233</w:t>
            </w:r>
          </w:p>
        </w:tc>
        <w:tc>
          <w:tcPr>
            <w:tcW w:type="dxa" w:w="1872"/>
          </w:tcPr>
          <w:p>
            <w:r/>
            <w:r>
              <w:rPr>
                <w:sz w:val="18"/>
              </w:rPr>
              <w:t>REJECT</w:t>
            </w:r>
          </w:p>
        </w:tc>
        <w:tc>
          <w:tcPr>
            <w:tcW w:type="dxa" w:w="4320"/>
          </w:tcPr>
          <w:p>
            <w:r/>
            <w:r>
              <w:rPr>
                <w:sz w:val="18"/>
              </w:rPr>
              <w:t>Mid QC ratio 0.375 = 63% of target</w:t>
            </w:r>
          </w:p>
        </w:tc>
      </w:tr>
    </w:tbl>
    <w:p/>
    <w:p>
      <w:r>
        <w:rPr>
          <w:b w:val="0"/>
          <w:i w:val="0"/>
        </w:rPr>
        <w:t>Two results are worth putting in front of the reviewer. First, a 62% historical run-acceptance rate is what an unqualified assay looks like when a real rule is applied to it for the first time; it is also the strongest available argument that the platform needs the qualification in §7 before efficacy use, and we should not hide it. Second, the rule rejects plate 44 — which is exactly the plate that produced the 19.7% high bias in §4.7. The reproducibility failure in §4.7 is therefore not an intrinsic limit of the method; it is what happens when there is no run-acceptance rule to catch a defective run. That is a repairable finding, and saying so is the substance of our defense.</w:t>
      </w:r>
    </w:p>
    <w:p>
      <w:pPr>
        <w:pStyle w:val="Heading1"/>
      </w:pPr>
      <w:r>
        <w:t>5. Reconciliation against BA-MEMO-2025-03-19</w:t>
      </w:r>
    </w:p>
    <w:p>
      <w:r>
        <w:rPr>
          <w:b w:val="0"/>
          <w:i w:val="0"/>
        </w:rPr>
        <w:t>Bioanalytical Sciences circulated a readiness position (BA-MEMO-2025-03-19, R. Delacroix, "CSF total-PrP ELISA readiness position ahead of clinical sample analysis"). Four of its four numbered positions are not supportable from the exports or the filed record and must not travel into the response package. Each is addressed on the evidence, and the replacement position is stated.</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
              <w:rPr>
                <w:b/>
                <w:sz w:val="18"/>
              </w:rPr>
              <w:t>BA memo position</w:t>
            </w:r>
          </w:p>
        </w:tc>
        <w:tc>
          <w:tcPr>
            <w:tcW w:type="dxa" w:w="4032"/>
          </w:tcPr>
          <w:p>
            <w:r/>
            <w:r>
              <w:rPr>
                <w:b/>
                <w:sz w:val="18"/>
              </w:rPr>
              <w:t>Assessment</w:t>
            </w:r>
          </w:p>
        </w:tc>
        <w:tc>
          <w:tcPr>
            <w:tcW w:type="dxa" w:w="2448"/>
          </w:tcPr>
          <w:p>
            <w:r/>
            <w:r>
              <w:rPr>
                <w:b/>
                <w:sz w:val="18"/>
              </w:rPr>
              <w:t>Position of record</w:t>
            </w:r>
          </w:p>
        </w:tc>
      </w:tr>
      <w:tr>
        <w:tc>
          <w:tcPr>
            <w:tcW w:type="dxa" w:w="2880"/>
          </w:tcPr>
          <w:p>
            <w:r/>
            <w:r>
              <w:rPr>
                <w:sz w:val="18"/>
              </w:rPr>
              <w:t>1. "The murine research-grade QC pools currently qualified in our hands … are fit-for-purpose bridging calibrators for human CSF PrP measurement while human-matrix qualification is pending. PrP is the analyte regardless of source matrix."</w:t>
            </w:r>
          </w:p>
        </w:tc>
        <w:tc>
          <w:tcPr>
            <w:tcW w:type="dxa" w:w="4032"/>
          </w:tcPr>
          <w:p>
            <w:r/>
            <w:r>
              <w:rPr>
                <w:sz w:val="18"/>
              </w:rPr>
              <w:t>Not supportable. Three independent grounds. (i) The pools are 10% w/v mouse brain homogenate in 0.2% CHAPS, not CSF; the mismatch is a matrix mismatch, not merely a species mismatch, and the memo’s "analyte is the analyte" argument does not reach matrix effects, which is precisely what Comment 4 asks to be confirmed. (ii) The pools are not stable enough to serve as calibrators: §4.5 shows a 23–42% step between two lots of the same material on one plate. (iii) The filed record already discloses a ~1.7× positive bias at the bottom of the range (10% nominal residual reads 17%), so the murine pools are known to be non-linear where PrP-lowering data matter most.</w:t>
            </w:r>
          </w:p>
        </w:tc>
        <w:tc>
          <w:tcPr>
            <w:tcW w:type="dxa" w:w="2448"/>
          </w:tcPr>
          <w:p>
            <w:r/>
            <w:r>
              <w:rPr>
                <w:sz w:val="18"/>
              </w:rPr>
              <w:t>The murine pools are retained as system-suitability controls only. Human CSF calibrator and QC materials must be established before any human CSF result is reported — S-2 and S-6.</w:t>
            </w:r>
          </w:p>
        </w:tc>
      </w:tr>
      <w:tr>
        <w:tc>
          <w:tcPr>
            <w:tcW w:type="dxa" w:w="2880"/>
          </w:tcPr>
          <w:p>
            <w:r/>
            <w:r>
              <w:rPr>
                <w:sz w:val="18"/>
              </w:rPr>
              <w:t>2. "We intend to report presymptomatic and symptomatic CSF PrP values as exploratory pharmacodynamic endpoints … Given the exploratory framing, a full validation protocol is not required before first-patient samples … method performance is adequately described by the platform’s historical precision (~9% within-individual CV)."</w:t>
            </w:r>
          </w:p>
        </w:tc>
        <w:tc>
          <w:tcPr>
            <w:tcW w:type="dxa" w:w="4032"/>
          </w:tcPr>
          <w:p>
            <w:r/>
            <w:r>
              <w:rPr>
                <w:sz w:val="18"/>
              </w:rPr>
              <w:t>Contradicts the filed record on both halves. On framing: CSF PrP is a secondary endpoint in both filed protocols (symptomatic §8.3.2), with a pre-specified paired t-test at p=0.05 and a formal power statement. We cannot describe as exploratory an endpoint the filed protocol powers and tests. On performance: the 9.0% figure is a within-individual biological test-retest CV from the natural-history cohort (protocol §8.2.2, ref. 35). It is the assumption the power calculation consumes, not evidence about the assay. Offering it as analytical precision makes the power statement circular, and the reviewer who notices will discount both. The measured analytical figures are in §4.4: 16.0% and 19.4% CV on normalized mid- and low-range controls.</w:t>
            </w:r>
          </w:p>
        </w:tc>
        <w:tc>
          <w:tcPr>
            <w:tcW w:type="dxa" w:w="2448"/>
          </w:tcPr>
          <w:p>
            <w:r/>
            <w:r>
              <w:rPr>
                <w:sz w:val="18"/>
              </w:rPr>
              <w:t>Tier 1 / Tier 2 framing in §3. CSF PrP remains a secondary target-engagement endpoint. A qualification protocol is required before first-patient reporting under S-1 through S-5 and before any efficacy use under S-6.</w:t>
            </w:r>
          </w:p>
        </w:tc>
      </w:tr>
      <w:tr>
        <w:tc>
          <w:tcPr>
            <w:tcW w:type="dxa" w:w="2880"/>
          </w:tcPr>
          <w:p>
            <w:r/>
            <w:r>
              <w:rPr>
                <w:sz w:val="18"/>
              </w:rPr>
              <w:t>3. "Traumatic lumbar puncture is expected in a fraction of collections and can be handled analytically: sample PrP values normalized to CSF total protein correct for blood contribution. No separate collection control is needed at the bench."</w:t>
            </w:r>
          </w:p>
        </w:tc>
        <w:tc>
          <w:tcPr>
            <w:tcW w:type="dxa" w:w="4032"/>
          </w:tcPr>
          <w:p>
            <w:r/>
            <w:r>
              <w:rPr>
                <w:sz w:val="18"/>
              </w:rPr>
              <w:t>Analytically incorrect, and it fails in an unpredictable direction. Blood introduces PrP (platelets are a rich PrP source) and simultaneously raises CSF total protein. Dividing an inflated numerator by an inflated denominator does not recover the true CSF value; the ratio moves up or down depending on the relative magnitudes, so the correction cannot be signed, let alone bounded. The filed protocol itself states that most historical CSF PrP samples "are uninterpretable due to poor control of pre-analytical variables" — the record already rejects the position that pre-analytical control can be deferred to post-hoc arithmetic.</w:t>
            </w:r>
          </w:p>
        </w:tc>
        <w:tc>
          <w:tcPr>
            <w:tcW w:type="dxa" w:w="2448"/>
          </w:tcPr>
          <w:p>
            <w:r/>
            <w:r>
              <w:rPr>
                <w:sz w:val="18"/>
              </w:rPr>
              <w:t>Specimen integrity is controlled prospectively at collection and gated at the bench, with a numeric exclusion rule — S-1. Total-protein normalization is not used as a blood-contamination correction.</w:t>
            </w:r>
          </w:p>
        </w:tc>
      </w:tr>
      <w:tr>
        <w:tc>
          <w:tcPr>
            <w:tcW w:type="dxa" w:w="2880"/>
          </w:tcPr>
          <w:p>
            <w:r/>
            <w:r>
              <w:rPr>
                <w:sz w:val="18"/>
              </w:rPr>
              <w:t>4. "We do not recommend gating clinical sample reporting on completion of the human-matrix qualification plan; exploratory values can be released to the clinical team with a caveat footnote."</w:t>
            </w:r>
          </w:p>
        </w:tc>
        <w:tc>
          <w:tcPr>
            <w:tcW w:type="dxa" w:w="4032"/>
          </w:tcPr>
          <w:p>
            <w:r/>
            <w:r>
              <w:rPr>
                <w:sz w:val="18"/>
              </w:rPr>
              <w:t>Not acceptable in this setting. This is an open-label study; unblinded PD values released to the clinical team reach the dose-escalation decision, which is made by the Independent Medical Monitor under §5.1.5. A footnote does not constrain how a number is used once it is in circulation. It also concedes the exact point Comment 4 raises — releasing values from a method the sponsor has not validated for the use — while offering typography as the control.</w:t>
            </w:r>
          </w:p>
        </w:tc>
        <w:tc>
          <w:tcPr>
            <w:tcW w:type="dxa" w:w="2448"/>
          </w:tcPr>
          <w:p>
            <w:r/>
            <w:r>
              <w:rPr>
                <w:sz w:val="18"/>
              </w:rPr>
              <w:t>Reporting is gated. No CSF PrP value leaves Bioanalytical until S-1, S-2, S-3 and S-5 are in force and the run has passed them; no value is used for any efficacy-supporting purpose until S-6 is complete and reported.</w:t>
            </w:r>
          </w:p>
        </w:tc>
      </w:tr>
    </w:tbl>
    <w:p/>
    <w:p>
      <w:r>
        <w:rPr>
          <w:b w:val="0"/>
          <w:i/>
        </w:rPr>
        <w:t>Institutional note for QA. Nothing above impugns the platform, which has produced the murine dose-response data underpinning the entire program. The disagreement is narrow and it is about scope: the assay is being asked to do something in the clinic that it has not yet been shown to do in the matrix in question. Section 7 is the work that closes that, and most of it is weeks, not quarters.</w:t>
      </w:r>
    </w:p>
    <w:p>
      <w:pPr>
        <w:pStyle w:val="Heading1"/>
      </w:pPr>
      <w:r>
        <w:t>6. Clinical-validation gaps a reviewer will raise before efficacy use</w:t>
      </w:r>
    </w:p>
    <w:p>
      <w:r>
        <w:rPr>
          <w:b w:val="0"/>
          <w:i w:val="0"/>
        </w:rPr>
        <w:t>Status of each gap named in the tasking, judged against the filed record and the exports. "On the filed record" means indexed in SD-11755 and submitted; internal drafts, memoranda and unfiled analyses do not qualify.</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18"/>
              </w:rPr>
              <w:t>Gap</w:t>
            </w:r>
          </w:p>
        </w:tc>
        <w:tc>
          <w:tcPr>
            <w:tcW w:type="dxa" w:w="3888"/>
          </w:tcPr>
          <w:p>
            <w:r/>
            <w:r>
              <w:rPr>
                <w:b/>
                <w:sz w:val="18"/>
              </w:rPr>
              <w:t>On the filed record?</w:t>
            </w:r>
          </w:p>
        </w:tc>
        <w:tc>
          <w:tcPr>
            <w:tcW w:type="dxa" w:w="2160"/>
          </w:tcPr>
          <w:p>
            <w:r/>
            <w:r>
              <w:rPr>
                <w:b/>
                <w:sz w:val="18"/>
              </w:rPr>
              <w:t>Evidence on the desk?</w:t>
            </w:r>
          </w:p>
        </w:tc>
        <w:tc>
          <w:tcPr>
            <w:tcW w:type="dxa" w:w="720"/>
          </w:tcPr>
          <w:p>
            <w:r/>
            <w:r>
              <w:rPr>
                <w:b/>
                <w:sz w:val="18"/>
              </w:rPr>
              <w:t>Closed by</w:t>
            </w:r>
          </w:p>
        </w:tc>
      </w:tr>
      <w:tr>
        <w:tc>
          <w:tcPr>
            <w:tcW w:type="dxa" w:w="2160"/>
          </w:tcPr>
          <w:p>
            <w:r/>
            <w:r>
              <w:rPr>
                <w:sz w:val="18"/>
              </w:rPr>
              <w:t>Specimen integrity controls (traumatic LP, blood contamination, tube type, time-to-freeze, freeze-thaw)</w:t>
            </w:r>
          </w:p>
        </w:tc>
        <w:tc>
          <w:tcPr>
            <w:tcW w:type="dxa" w:w="3888"/>
          </w:tcPr>
          <w:p>
            <w:r/>
            <w:r>
              <w:rPr>
                <w:sz w:val="18"/>
              </w:rPr>
              <w:t>No. Symptomatic protocol §6.1.13 specifies an atraumatic spinal needle, L4–L5, and 20 mL collected, then states only that CSF is "processed, stored, and analyzed." No tube material, centrifugation, aliquot volume, time-to-freeze, freeze-thaw limit, or blood-contamination rule appears anywhere in either protocol. §6.4.2 asserts CSF will be handled "according to the same protocol established in our natural history study" — a cross-reference to an unfiled document, which is not a specification.</w:t>
            </w:r>
          </w:p>
        </w:tc>
        <w:tc>
          <w:tcPr>
            <w:tcW w:type="dxa" w:w="2160"/>
          </w:tcPr>
          <w:p>
            <w:r/>
            <w:r>
              <w:rPr>
                <w:sz w:val="18"/>
              </w:rPr>
              <w:t>None. No specimen-integrity data (hemoglobin, RBC, tube comparison, freeze-thaw) exist in the exports.</w:t>
            </w:r>
          </w:p>
        </w:tc>
        <w:tc>
          <w:tcPr>
            <w:tcW w:type="dxa" w:w="720"/>
          </w:tcPr>
          <w:p>
            <w:r/>
            <w:r>
              <w:rPr>
                <w:sz w:val="18"/>
              </w:rPr>
              <w:t>S-1</w:t>
            </w:r>
          </w:p>
        </w:tc>
      </w:tr>
      <w:tr>
        <w:tc>
          <w:tcPr>
            <w:tcW w:type="dxa" w:w="2160"/>
          </w:tcPr>
          <w:p>
            <w:r/>
            <w:r>
              <w:rPr>
                <w:sz w:val="18"/>
              </w:rPr>
              <w:t>Critical-reagent control (antibody and QC/calibrator lots)</w:t>
            </w:r>
          </w:p>
        </w:tc>
        <w:tc>
          <w:tcPr>
            <w:tcW w:type="dxa" w:w="3888"/>
          </w:tcPr>
          <w:p>
            <w:r/>
            <w:r>
              <w:rPr>
                <w:sz w:val="18"/>
              </w:rPr>
              <w:t>No. 4.2.1.1 names the reagents and catalogue numbers but states no lot-control, bridging or re-qualification requirement. No numeric bridging criterion is filed.</w:t>
            </w:r>
          </w:p>
        </w:tc>
        <w:tc>
          <w:tcPr>
            <w:tcW w:type="dxa" w:w="2160"/>
          </w:tcPr>
          <w:p>
            <w:r/>
            <w:r>
              <w:rPr>
                <w:sz w:val="18"/>
              </w:rPr>
              <w:t>Yes, and adverse: a completed two-lot comparison on plate 114 showing +23.3% to +42.2% (§4.5).</w:t>
            </w:r>
          </w:p>
        </w:tc>
        <w:tc>
          <w:tcPr>
            <w:tcW w:type="dxa" w:w="720"/>
          </w:tcPr>
          <w:p>
            <w:r/>
            <w:r>
              <w:rPr>
                <w:sz w:val="18"/>
              </w:rPr>
              <w:t>S-2</w:t>
            </w:r>
          </w:p>
        </w:tc>
      </w:tr>
      <w:tr>
        <w:tc>
          <w:tcPr>
            <w:tcW w:type="dxa" w:w="2160"/>
          </w:tcPr>
          <w:p>
            <w:r/>
            <w:r>
              <w:rPr>
                <w:sz w:val="18"/>
              </w:rPr>
              <w:t>Incurred-sample reanalysis</w:t>
            </w:r>
          </w:p>
        </w:tc>
        <w:tc>
          <w:tcPr>
            <w:tcW w:type="dxa" w:w="3888"/>
          </w:tcPr>
          <w:p>
            <w:r/>
            <w:r>
              <w:rPr>
                <w:sz w:val="18"/>
              </w:rPr>
              <w:t>No. Neither protocol nor 4.2.1.1 mentions ISR. No ISR plan or criterion is filed.</w:t>
            </w:r>
          </w:p>
        </w:tc>
        <w:tc>
          <w:tcPr>
            <w:tcW w:type="dxa" w:w="2160"/>
          </w:tcPr>
          <w:p>
            <w:r/>
            <w:r>
              <w:rPr>
                <w:sz w:val="18"/>
              </w:rPr>
              <w:t>Partial and matrix-mismatched: 12 cross-plate pairs in mouse brain homogenate (§4.7). None in CSF, none in human.</w:t>
            </w:r>
          </w:p>
        </w:tc>
        <w:tc>
          <w:tcPr>
            <w:tcW w:type="dxa" w:w="720"/>
          </w:tcPr>
          <w:p>
            <w:r/>
            <w:r>
              <w:rPr>
                <w:sz w:val="18"/>
              </w:rPr>
              <w:t>S-4</w:t>
            </w:r>
          </w:p>
        </w:tc>
      </w:tr>
      <w:tr>
        <w:tc>
          <w:tcPr>
            <w:tcW w:type="dxa" w:w="2160"/>
          </w:tcPr>
          <w:p>
            <w:r/>
            <w:r>
              <w:rPr>
                <w:sz w:val="18"/>
              </w:rPr>
              <w:t>Numeric clinical run-acceptance rule</w:t>
            </w:r>
          </w:p>
        </w:tc>
        <w:tc>
          <w:tcPr>
            <w:tcW w:type="dxa" w:w="3888"/>
          </w:tcPr>
          <w:p>
            <w:r/>
            <w:r>
              <w:rPr>
                <w:sz w:val="18"/>
              </w:rPr>
              <w:t>No — and this is the answer the response must give. Searched: symptomatic protocol v7 (2025-03-06), presymptomatic protocol, 4.2.1.1, Type B briefing package, Type B minutes, Investigator Brochure, SD-11755 index. The only assertion is symptomatic protocol §6.4.2: the method was "developed at the Broad Institute and validated at Battelle." No Battelle report is indexed in SD-11755, none is held on the translational desk, and no numeric criterion of any kind for this assay appears on the filed record. Module 4.2.2.1 contains eleven method development/validation reports, all for 2439-exNA drug quantitation, none for PrP; module 5.3.1 is empty.</w:t>
            </w:r>
          </w:p>
        </w:tc>
        <w:tc>
          <w:tcPr>
            <w:tcW w:type="dxa" w:w="2160"/>
          </w:tcPr>
          <w:p>
            <w:r/>
            <w:r>
              <w:rPr>
                <w:sz w:val="18"/>
              </w:rPr>
              <w:t>Yes: 16 plates of calibrator and QC data sufficient to set and retrospectively test a rule (§4.3, §4.8).</w:t>
            </w:r>
          </w:p>
        </w:tc>
        <w:tc>
          <w:tcPr>
            <w:tcW w:type="dxa" w:w="720"/>
          </w:tcPr>
          <w:p>
            <w:r/>
            <w:r>
              <w:rPr>
                <w:sz w:val="18"/>
              </w:rPr>
              <w:t>S-3</w:t>
            </w:r>
          </w:p>
        </w:tc>
      </w:tr>
      <w:tr>
        <w:tc>
          <w:tcPr>
            <w:tcW w:type="dxa" w:w="2160"/>
          </w:tcPr>
          <w:p>
            <w:r/>
            <w:r>
              <w:rPr>
                <w:sz w:val="18"/>
              </w:rPr>
              <w:t>Human-matrix accuracy, specificity, sensitivity and parallelism (Comment 4(b), 4(c))</w:t>
            </w:r>
          </w:p>
        </w:tc>
        <w:tc>
          <w:tcPr>
            <w:tcW w:type="dxa" w:w="3888"/>
          </w:tcPr>
          <w:p>
            <w:r/>
            <w:r>
              <w:rPr>
                <w:sz w:val="18"/>
              </w:rPr>
              <w:t>No. 4.2.1.1 asserts "indistinguishable reactivity for human and mouse PrP," cited to a prior publication. No in-house human data, no human calibrator, no selectivity or matrix-effect data in human CSF are filed.</w:t>
            </w:r>
          </w:p>
        </w:tc>
        <w:tc>
          <w:tcPr>
            <w:tcW w:type="dxa" w:w="2160"/>
          </w:tcPr>
          <w:p>
            <w:r/>
            <w:r>
              <w:rPr>
                <w:sz w:val="18"/>
              </w:rPr>
              <w:t>None in human CSF. The Tg26372 humanized-mouse runs demonstrate the antibody pair detects human PrP in brain homogenate, which is supportive of specificity but is not a human-CSF matrix qualification.</w:t>
            </w:r>
          </w:p>
        </w:tc>
        <w:tc>
          <w:tcPr>
            <w:tcW w:type="dxa" w:w="720"/>
          </w:tcPr>
          <w:p>
            <w:r/>
            <w:r>
              <w:rPr>
                <w:sz w:val="18"/>
              </w:rPr>
              <w:t>S-6</w:t>
            </w:r>
          </w:p>
        </w:tc>
      </w:tr>
      <w:tr>
        <w:tc>
          <w:tcPr>
            <w:tcW w:type="dxa" w:w="2160"/>
          </w:tcPr>
          <w:p>
            <w:r/>
            <w:r>
              <w:rPr>
                <w:sz w:val="18"/>
              </w:rPr>
              <w:t>Cross-run comparability of specimens collected months apart</w:t>
            </w:r>
          </w:p>
        </w:tc>
        <w:tc>
          <w:tcPr>
            <w:tcW w:type="dxa" w:w="3888"/>
          </w:tcPr>
          <w:p>
            <w:r/>
            <w:r>
              <w:rPr>
                <w:sz w:val="18"/>
              </w:rPr>
              <w:t>No. Not addressed in either protocol. 4.2.1.1 manages plate-to-plate variability by splitting groups across plates and normalizing to on-plate controls — a design that presumes all compared specimens are in the same run, which cannot hold for a Day 0 vs Week 24 comparison unless it is engineered to.</w:t>
            </w:r>
          </w:p>
        </w:tc>
        <w:tc>
          <w:tcPr>
            <w:tcW w:type="dxa" w:w="2160"/>
          </w:tcPr>
          <w:p>
            <w:r/>
            <w:r>
              <w:rPr>
                <w:sz w:val="18"/>
              </w:rPr>
              <w:t>Yes, and adverse: 3.45–4.93-fold absolute inter-plate drift (§4.4) and a 19.7% directional between-run bias (§4.7).</w:t>
            </w:r>
          </w:p>
        </w:tc>
        <w:tc>
          <w:tcPr>
            <w:tcW w:type="dxa" w:w="720"/>
          </w:tcPr>
          <w:p>
            <w:r/>
            <w:r>
              <w:rPr>
                <w:sz w:val="18"/>
              </w:rPr>
              <w:t>S-5</w:t>
            </w:r>
          </w:p>
        </w:tc>
      </w:tr>
    </w:tbl>
    <w:p/>
    <w:p>
      <w:r>
        <w:rPr>
          <w:b w:val="0"/>
          <w:i w:val="0"/>
        </w:rPr>
        <w:t>One further item, outside the four named but certain to be raised alongside them: the reportable range on the filed record (0.05 – 5 ng/mL) is not supported by the sponsor’s own data, which place the functional lower limit at 0.128 ng/mL (§4.3). S-3 corrects this. It is better that we correct it than that the reviewer does.</w:t>
      </w:r>
    </w:p>
    <w:p>
      <w:pPr>
        <w:pStyle w:val="Heading1"/>
      </w:pPr>
      <w:r>
        <w:t>7. Specifications</w:t>
      </w:r>
    </w:p>
    <w:p>
      <w:r>
        <w:rPr>
          <w:b w:val="0"/>
          <w:i w:val="0"/>
        </w:rPr>
        <w:t>The following are written as specifications, not intentions: named control materials, numeric bounds, and the disposition when a bound is exceeded. They are drafted to be lifted verbatim into the qualification protocol submitted to the Division under Comment 4(d), and into the receiving SOPs. Bounds are set from the sponsor’s own data where data exist (§4) and from the acceptance-criteria conventions already accepted by the Agency in the sponsor’s filed method validation reports for 2439-exNA (4.2.2.1.10, rat CSF: calibrators within ±15% of nominal, ±20% at the LLOQ, at least 75% of calibrators and a minimum of 6 levels passing; QCs within ±15%, CV ≤15%), widened to the tolerances conventional for a ligand-binding assay (±20%, ±25% at the LLOQ, CV ≤20%).</w:t>
      </w:r>
    </w:p>
    <w:p>
      <w:r>
        <w:rPr>
          <w:b w:val="0"/>
          <w:i/>
        </w:rPr>
        <w:t>Where a bound is provisional pending the qualification runs that establish it, this is stated in the specification rather than concealed by a round number.</w:t>
      </w:r>
    </w:p>
    <w:p>
      <w:r>
        <w:rPr>
          <w:b/>
          <w:sz w:val="22"/>
        </w:rPr>
        <w:t>S-1  Specimen integrity control (collection to bench)</w:t>
      </w:r>
    </w:p>
    <w:p>
      <w:r>
        <w:rPr>
          <w:b/>
          <w:sz w:val="20"/>
        </w:rPr>
        <w:t>Control materials:</w:t>
      </w:r>
    </w:p>
    <w:p>
      <w:pPr>
        <w:pStyle w:val="ListBullet2"/>
      </w:pPr>
      <w:r>
        <w:t>CSF-BLANK-HU: pooled human CSF from non-neurological donors, PrP-depleted by immunodepletion, aliquoted and stored with the clinical specimens; one aliquot per clinical run.</w:t>
      </w:r>
    </w:p>
    <w:p>
      <w:pPr>
        <w:pStyle w:val="ListBullet2"/>
      </w:pPr>
      <w:r>
        <w:t>CSF-SPIKE-LO / -MID / -HI: CSF-BLANK-HU spiked with recombinant human PrP (HuPrP23-231) at 0.20, 0.60 and 1.60 ng/mL post-dilution equivalent (nominally 3× LLOQ, mid-range, 80% of ULOQ).</w:t>
      </w:r>
    </w:p>
    <w:p>
      <w:pPr>
        <w:pStyle w:val="ListBullet2"/>
      </w:pPr>
      <w:r>
        <w:t>BLOOD-SPIKE panel: CSF-BLANK-HU spiked with autologous-equivalent whole blood at 0, 100, 500, 2,000 and 10,000 RBC/µL, prepared once during qualification to fix the exclusion threshold empirically.</w:t>
      </w:r>
    </w:p>
    <w:p>
      <w:pPr>
        <w:pStyle w:val="ListBullet2"/>
      </w:pPr>
      <w:r>
        <w:t>Per-specimen integrity measures, on the collection aliquot: CSF RBC count (available from the CSF cell count with differential already collected as a filed primary safety endpoint, symptomatic protocol §8.3.1) and CSF hemoglobin by validated immunoassay.</w:t>
      </w:r>
    </w:p>
    <w:p>
      <w:r>
        <w:rPr>
          <w:b/>
          <w:sz w:val="20"/>
        </w:rPr>
        <w:t>Acceptance criteria:</w:t>
      </w:r>
    </w:p>
    <w:p>
      <w:pPr>
        <w:pStyle w:val="ListBullet2"/>
      </w:pPr>
      <w:r>
        <w:t>Collection: atraumatic spinal needle, L4–L5, per filed protocol §6.1.13. First 2 mL of every draw diverted to safety chemistry and discarded from the PD stream.</w:t>
      </w:r>
    </w:p>
    <w:p>
      <w:pPr>
        <w:pStyle w:val="ListBullet2"/>
      </w:pPr>
      <w:r>
        <w:t>Container: low-protein-binding polypropylene throughout (collection tube, transfer pipette, aliquot cryovial). Polystyrene and glass are prohibited at every step. Rationale: PrP adsorbs to plastic surfaces, and the filed protocol §2.1 attributes the uninterpretability of historical CSF PrP samples to exactly this class of pre-analytical failure.</w:t>
      </w:r>
    </w:p>
    <w:p>
      <w:pPr>
        <w:pStyle w:val="ListBullet2"/>
      </w:pPr>
      <w:r>
        <w:t>Processing: centrifuge 2,000 × g, 10 min, 4 °C within 60 min of collection; aliquot supernatant at 0.5 mL; freeze at –80 °C ± 10 °C within 120 min of collection. Elapsed collection-to-freeze time recorded on every aliquot.</w:t>
      </w:r>
    </w:p>
    <w:p>
      <w:pPr>
        <w:pStyle w:val="ListBullet2"/>
      </w:pPr>
      <w:r>
        <w:t>Freeze-thaw: a maximum of 1 freeze-thaw cycle before assay. Thaw on ice. Any aliquot on its second thaw is not assayed for the PD endpoint.</w:t>
      </w:r>
    </w:p>
    <w:p>
      <w:pPr>
        <w:pStyle w:val="ListBullet2"/>
      </w:pPr>
      <w:r>
        <w:t>Blood-contamination gate: CSF RBC ≤ 500 cells/µL AND CSF hemoglobin ≤ the threshold established in qualification as the highest spike level producing ≤10% change in measured PrP in the BLOOD-SPIKE panel (provisional threshold 100 µg/dL pending that run).</w:t>
      </w:r>
    </w:p>
    <w:p>
      <w:pPr>
        <w:pStyle w:val="ListBullet2"/>
      </w:pPr>
      <w:r>
        <w:t>Spiked-recovery gate, every clinical run: CSF-SPIKE-LO/-MID/-HI recover within ±20% of nominal (±25% at CSF-SPIKE-LO).</w:t>
      </w:r>
    </w:p>
    <w:p>
      <w:pPr>
        <w:pStyle w:val="ListBullet2"/>
      </w:pPr>
      <w:r>
        <w:t>CSF-BLANK-HU must read &lt; LLOQ (0.128 ng/mL, dilution-corrected).</w:t>
      </w:r>
    </w:p>
    <w:p>
      <w:r>
        <w:rPr>
          <w:b/>
          <w:sz w:val="20"/>
        </w:rPr>
        <w:t>Disposition on failure:</w:t>
      </w:r>
    </w:p>
    <w:p>
      <w:pPr>
        <w:pStyle w:val="ListBullet2"/>
      </w:pPr>
      <w:r>
        <w:t>Specimen exceeding the blood-contamination gate: not reported as a PD result. Recorded in the analytical dataset as "excluded — specimen integrity," with the RBC and hemoglobin values retained. Excluded from all PD analyses, including sensitivity analyses. Not replaced by imputation; the affected visit is treated as missing in the paired analysis.</w:t>
      </w:r>
    </w:p>
    <w:p>
      <w:pPr>
        <w:pStyle w:val="ListBullet2"/>
      </w:pPr>
      <w:r>
        <w:t>Specimen exceeding the time-to-freeze or freeze-thaw limits: same disposition, reason code "excluded — pre-analytical deviation."</w:t>
      </w:r>
    </w:p>
    <w:p>
      <w:pPr>
        <w:pStyle w:val="ListBullet2"/>
      </w:pPr>
      <w:r>
        <w:t>Spiked-recovery or blank failure: the entire run is rejected under S-3 and all specimens are re-assayed from retained aliquots.</w:t>
      </w:r>
    </w:p>
    <w:p>
      <w:pPr>
        <w:pStyle w:val="ListBullet2"/>
      </w:pPr>
      <w:r>
        <w:t>Any exclusion is reported to the IMM before it informs a dose-escalation decision, and tabulated by cohort in the clinical study report. If more than 20% of specimens in any cohort are excluded, the collection procedure is re-qualified before further dosing.</w:t>
      </w:r>
    </w:p>
    <w:p>
      <w:r>
        <w:rPr>
          <w:b/>
          <w:sz w:val="20"/>
        </w:rPr>
        <w:t>Basis on file / on desk:</w:t>
      </w:r>
    </w:p>
    <w:p>
      <w:pPr>
        <w:pStyle w:val="ListBullet2"/>
      </w:pPr>
      <w:r>
        <w:t>Filed protocol §6.1.13 (collection), §8.3.1 (CSF cell count with differential and CSF total protein already collected), §2.1 (pre-analytical variables render historical samples uninterpretable). No specimen-integrity control exists on the filed record or in the exports; this specification is new work, and the response should present it as such.</w:t>
      </w:r>
    </w:p>
    <w:p>
      <w:r>
        <w:rPr>
          <w:b/>
          <w:sz w:val="22"/>
        </w:rPr>
        <w:t>S-2  Critical-reagent and control-material lot control</w:t>
      </w:r>
    </w:p>
    <w:p>
      <w:r>
        <w:rPr>
          <w:b/>
          <w:sz w:val="20"/>
        </w:rPr>
        <w:t>Control materials:</w:t>
      </w:r>
    </w:p>
    <w:p>
      <w:pPr>
        <w:pStyle w:val="ListBullet2"/>
      </w:pPr>
      <w:r>
        <w:t>Critical reagents, designated: capture antibody EP1802Y (Abcam ab52604); detection antibody 8H4 (Abcam ab61409) and each in-house biotinylation batch thereof; streptavidin-HRP (Thermo Fisher 21130); recombinant human PrP calibrator (HuPrP23-231) and each purification batch thereof.</w:t>
      </w:r>
    </w:p>
    <w:p>
      <w:pPr>
        <w:pStyle w:val="ListBullet2"/>
      </w:pPr>
      <w:r>
        <w:t>CAL-HU: recombinant HuPrP23-231, single designated master lot, sufficient for the study, aliquoted single-use.</w:t>
      </w:r>
    </w:p>
    <w:p>
      <w:pPr>
        <w:pStyle w:val="ListBullet2"/>
      </w:pPr>
      <w:r>
        <w:t>QC-CSF-LO / -MID / -HI: pooled human CSF QC materials at nominally 3× LLOQ, mid-range and 80% ULOQ, established in qualification under S-6, single-use aliquots, one lot reserved for the study duration.</w:t>
      </w:r>
    </w:p>
    <w:p>
      <w:pPr>
        <w:pStyle w:val="ListBullet2"/>
      </w:pPr>
      <w:r>
        <w:t>MoPosHiQC / MoPosMidQC / MoPosLoQC / MoNeg (murine brain homogenate pools): retained as system-suitability controls only. They are not calibrators and not accuracy controls for human CSF.</w:t>
      </w:r>
    </w:p>
    <w:p>
      <w:pPr>
        <w:pStyle w:val="ListBullet2"/>
      </w:pPr>
      <w:r>
        <w:t>BRIDGE-SET: 6 archived human CSF specimens spanning the reportable range, reserved for lot bridging.</w:t>
      </w:r>
    </w:p>
    <w:p>
      <w:r>
        <w:rPr>
          <w:b/>
          <w:sz w:val="20"/>
        </w:rPr>
        <w:t>Acceptance criteria:</w:t>
      </w:r>
    </w:p>
    <w:p>
      <w:pPr>
        <w:pStyle w:val="ListBullet2"/>
      </w:pPr>
      <w:r>
        <w:t>A lot change in any designated critical reagent requires a prospective bridging run before the new lot is used for clinical specimens. No exceptions, no concurrent use.</w:t>
      </w:r>
    </w:p>
    <w:p>
      <w:pPr>
        <w:pStyle w:val="ListBullet2"/>
      </w:pPr>
      <w:r>
        <w:t>Bridging run design: old and new lot on the same plate, same analyst, same day; BRIDGE-SET in duplicate under both lots plus QC-CSF-LO/-MID/-HI in triplicate under both lots.</w:t>
      </w:r>
    </w:p>
    <w:p>
      <w:pPr>
        <w:pStyle w:val="ListBullet2"/>
      </w:pPr>
      <w:r>
        <w:t>Bridging acceptance: mean ratio (new lot / old lot) within 0.90–1.10 at every QC level; ≥ 5 of 6 BRIDGE-SET specimens within ±15%; no specimen outside ±20%.</w:t>
      </w:r>
    </w:p>
    <w:p>
      <w:pPr>
        <w:pStyle w:val="ListBullet2"/>
      </w:pPr>
      <w:r>
        <w:t>Calibrator lot change additionally requires re-establishment of QC-CSF target values under the new lot before clinical use.</w:t>
      </w:r>
    </w:p>
    <w:p>
      <w:pPr>
        <w:pStyle w:val="ListBullet2"/>
      </w:pPr>
      <w:r>
        <w:t>Bridging is mandatory even for a nominally identical catalogue item from the same vendor.</w:t>
      </w:r>
    </w:p>
    <w:p>
      <w:pPr>
        <w:pStyle w:val="ListBullet2"/>
      </w:pPr>
      <w:r>
        <w:t>A single reagent lot is designated per subject wherever supply allows; any mid-subject lot change is recorded against every affected visit in the analytical dataset.</w:t>
      </w:r>
    </w:p>
    <w:p>
      <w:r>
        <w:rPr>
          <w:b/>
          <w:sz w:val="20"/>
        </w:rPr>
        <w:t>Disposition on failure:</w:t>
      </w:r>
    </w:p>
    <w:p>
      <w:pPr>
        <w:pStyle w:val="ListBullet2"/>
      </w:pPr>
      <w:r>
        <w:t>Bridging failure: the new lot is quarantined and is not used for clinical specimens. The old lot continues if stock and expiry permit. If it does not, clinical sample analysis is suspended — not continued under a caveat — until a lot passes, and the suspension is reported to the IMM and to Regulatory.</w:t>
      </w:r>
    </w:p>
    <w:p>
      <w:pPr>
        <w:pStyle w:val="ListBullet2"/>
      </w:pPr>
      <w:r>
        <w:t>Bridging failure detected retrospectively: all specimens run under the unbridged lot are re-assayed from retained aliquots under a bridged lot. If retained aliquots are insufficient, the affected results are reported as not evaluable and are excluded from the paired analysis.</w:t>
      </w:r>
    </w:p>
    <w:p>
      <w:pPr>
        <w:pStyle w:val="ListBullet2"/>
      </w:pPr>
      <w:r>
        <w:t>Every bridging run, pass or fail, is retained and tabulated in the method validation report submitted under Comment 4(d). The plate-114 failure in §4.5 is reported as the first entry.</w:t>
      </w:r>
    </w:p>
    <w:p>
      <w:r>
        <w:rPr>
          <w:b/>
          <w:sz w:val="20"/>
        </w:rPr>
        <w:t>Basis on file / on desk:</w:t>
      </w:r>
    </w:p>
    <w:p>
      <w:pPr>
        <w:pStyle w:val="ListBullet2"/>
      </w:pPr>
      <w:r>
        <w:t>§4.5: two lots of the same murine QC pool differed by +23.3% to +42.2% on a single plate (plate 114, CMR-2198). The 0.90–1.10 bound is set deliberately tighter than that observed step, and tighter than the effect size in protocol §8.2.2, because an unbridged lot change is otherwise indistinguishable from the pharmacodynamic signal. No lot-control requirement exists on the filed record.</w:t>
      </w:r>
    </w:p>
    <w:p>
      <w:r>
        <w:rPr>
          <w:b/>
          <w:sz w:val="22"/>
        </w:rPr>
        <w:t>S-3  Clinical run-acceptance criteria (numeric)</w:t>
      </w:r>
    </w:p>
    <w:p>
      <w:r>
        <w:rPr>
          <w:b/>
          <w:sz w:val="20"/>
        </w:rPr>
        <w:t>Control materials:</w:t>
      </w:r>
    </w:p>
    <w:p>
      <w:pPr>
        <w:pStyle w:val="ListBullet2"/>
      </w:pPr>
      <w:r>
        <w:t>Calibrators: CAL-HU in human CSF surrogate matrix, 8 levels in duplicate, nominal 0.128, 0.20, 0.32, 0.50, 0.80, 1.25, 2.00 ng/mL plus a zero blank; anchor points at 0.05 and 5.0 ng/mL may be plated but are excluded from the regression and from the reportable range.</w:t>
      </w:r>
    </w:p>
    <w:p>
      <w:pPr>
        <w:pStyle w:val="ListBullet2"/>
      </w:pPr>
      <w:r>
        <w:t>QCs: QC-CSF-LO, QC-CSF-MID, QC-CSF-HI, in duplicate, placed at both the top and the bottom of the plate (4 wells per level per plate).</w:t>
      </w:r>
    </w:p>
    <w:p>
      <w:pPr>
        <w:pStyle w:val="ListBullet2"/>
      </w:pPr>
      <w:r>
        <w:t>Blank: CSF-BLANK-HU in duplicate.</w:t>
      </w:r>
    </w:p>
    <w:p>
      <w:pPr>
        <w:pStyle w:val="ListBullet2"/>
      </w:pPr>
      <w:r>
        <w:t>System suitability: MoPosHiQC and MoNeg, in duplicate.</w:t>
      </w:r>
    </w:p>
    <w:p>
      <w:pPr>
        <w:pStyle w:val="ListBullet2"/>
      </w:pPr>
      <w:r>
        <w:t>Spiked-recovery controls per S-1.</w:t>
      </w:r>
    </w:p>
    <w:p>
      <w:r>
        <w:rPr>
          <w:b/>
          <w:sz w:val="20"/>
        </w:rPr>
        <w:t>Acceptance criteria:</w:t>
      </w:r>
    </w:p>
    <w:p>
      <w:pPr>
        <w:pStyle w:val="ListBullet2"/>
      </w:pPr>
      <w:r>
        <w:t>Reportable range: 0.128 – 2.00 ng/mL (dilution-corrected). The 0.05 ng/mL LLOQ stated in 4.2.1.1 is superseded; see §4.3.</w:t>
      </w:r>
    </w:p>
    <w:p>
      <w:pPr>
        <w:pStyle w:val="ListBullet2"/>
      </w:pPr>
      <w:r>
        <w:t>Calibration curve: 4-parameter logistic, 1/y² weighting; r² ≥ 0.99.</w:t>
      </w:r>
    </w:p>
    <w:p>
      <w:pPr>
        <w:pStyle w:val="ListBullet2"/>
      </w:pPr>
      <w:r>
        <w:t>Calibrators: back-calculated concentration within ±20% of nominal (±25% at the 0.128 ng/mL LLOQ); at least 75% of calibrator levels and a minimum of 6 levels must pass; the LLOQ and ULOQ levels must both pass; replicate CV ≤ 20% at every level (≤ 25% at the LLOQ).</w:t>
      </w:r>
    </w:p>
    <w:p>
      <w:pPr>
        <w:pStyle w:val="ListBullet2"/>
      </w:pPr>
      <w:r>
        <w:t>QCs: each level within ±20% of its established target value; at least 2 of 3 levels must pass and no level may exceed ±30%; replicate CV ≤ 20% at every level.</w:t>
      </w:r>
    </w:p>
    <w:p>
      <w:pPr>
        <w:pStyle w:val="ListBullet2"/>
      </w:pPr>
      <w:r>
        <w:t>Positional control: for each QC level, |top mean – bottom mean| / plate mean ≤ 15%.</w:t>
      </w:r>
    </w:p>
    <w:p>
      <w:pPr>
        <w:pStyle w:val="ListBullet2"/>
      </w:pPr>
      <w:r>
        <w:t>Blank: CSF-BLANK-HU &lt; LLOQ.</w:t>
      </w:r>
    </w:p>
    <w:p>
      <w:pPr>
        <w:pStyle w:val="ListBullet2"/>
      </w:pPr>
      <w:r>
        <w:t>Sample replicates: CV ≤ 20% between duplicate wells; ≤ 25% for wells below 3× LLOQ.</w:t>
      </w:r>
    </w:p>
    <w:p>
      <w:pPr>
        <w:pStyle w:val="ListBullet2"/>
      </w:pPr>
      <w:r>
        <w:t>Dilution: every clinical specimen assayed at 2 independent dilutions within the validated dilution range; the two dilution-corrected results must agree within ±25% (parallelism, per S-6).</w:t>
      </w:r>
    </w:p>
    <w:p>
      <w:pPr>
        <w:pStyle w:val="ListBullet2"/>
      </w:pPr>
      <w:r>
        <w:t>Censoring: results below 0.128 ng/mL are reported as &lt;LLOQ and are not extrapolated. Results above 2.00 ng/mL are re-assayed at higher dilution and are never reported at the ceiling value. (The exports contain 8 of 408 results reported at the 2,000 ng/mL ceiling; that practice does not carry into clinical reporting.)</w:t>
      </w:r>
    </w:p>
    <w:p>
      <w:pPr>
        <w:pStyle w:val="ListBullet2"/>
      </w:pPr>
      <w:r>
        <w:t>Analyst qualification: each analyst demonstrates 3 consecutive acceptable runs on QC-CSF materials before running clinical specimens, and the qualified-analyst roster is maintained as a controlled record — Comment 4 names "trained analysts" explicitly.</w:t>
      </w:r>
    </w:p>
    <w:p>
      <w:r>
        <w:rPr>
          <w:b/>
          <w:sz w:val="20"/>
        </w:rPr>
        <w:t>Disposition on failure:</w:t>
      </w:r>
    </w:p>
    <w:p>
      <w:pPr>
        <w:pStyle w:val="ListBullet2"/>
      </w:pPr>
      <w:r>
        <w:t>Any criterion not met: the run is rejected in full. No partial acceptance, no per-well or per-specimen rescue, no reporting of "indicative" values from a rejected run. All specimens on a rejected run are re-assayed from retained aliquots in a new run.</w:t>
      </w:r>
    </w:p>
    <w:p>
      <w:pPr>
        <w:pStyle w:val="ListBullet2"/>
      </w:pPr>
      <w:r>
        <w:t>A specimen failing sample-replicate CV or dilutional agreement on an otherwise acceptable run: that specimen alone is re-assayed; the reported value is from the acceptable repeat.</w:t>
      </w:r>
    </w:p>
    <w:p>
      <w:pPr>
        <w:pStyle w:val="ListBullet2"/>
      </w:pPr>
      <w:r>
        <w:t>Two consecutive rejected runs, or three rejections within 10 runs: analysis is suspended and an investigation is opened under QA before further clinical specimens are assayed.</w:t>
      </w:r>
    </w:p>
    <w:p>
      <w:pPr>
        <w:pStyle w:val="ListBullet2"/>
      </w:pPr>
      <w:r>
        <w:t>A rejected run is retained in the analytical audit trail with its rejection reason, and the run log — including rejections — is submitted with the method validation report. Rejected runs are not deleted.</w:t>
      </w:r>
    </w:p>
    <w:p>
      <w:r>
        <w:rPr>
          <w:b/>
          <w:sz w:val="20"/>
        </w:rPr>
        <w:t>Basis on file / on desk:</w:t>
      </w:r>
    </w:p>
    <w:p>
      <w:pPr>
        <w:pStyle w:val="ListBullet2"/>
      </w:pPr>
      <w:r>
        <w:t>Bounds derive from §4.3 (calibrator performance across 16 plates fixes the functional LLOQ at 0.128 ng/mL), §4.4 (normalized mid- and low-QC CVs of 16.0% and 19.4% set the floor on what ±20% can be), and §4.6 (positional bias to +28.5% justifies a top/bottom control and the 15% bound). The structure and the 75%/6-level convention are taken from the sponsor’s filed 4.2.2.1.10 rat-CSF method validation report, widened to ligand-binding-assay tolerances. Retrospective application to the 16 historical plates accepts 10 (62%) — §4.8. No numeric run-acceptance rule of any kind currently exists on the filed record.</w:t>
      </w:r>
    </w:p>
    <w:p>
      <w:r>
        <w:rPr>
          <w:b/>
          <w:sz w:val="22"/>
        </w:rPr>
        <w:t>S-4  Incurred-sample reanalysis</w:t>
      </w:r>
    </w:p>
    <w:p>
      <w:r>
        <w:rPr>
          <w:b/>
          <w:sz w:val="20"/>
        </w:rPr>
        <w:t>Control materials:</w:t>
      </w:r>
    </w:p>
    <w:p>
      <w:pPr>
        <w:pStyle w:val="ListBullet2"/>
      </w:pPr>
      <w:r>
        <w:t>Incurred clinical CSF specimens, re-assayed from a separate retained aliquot in a separate analytical run on a different day, by an analyst who is not shown the original result.</w:t>
      </w:r>
    </w:p>
    <w:p>
      <w:pPr>
        <w:pStyle w:val="ListBullet2"/>
      </w:pPr>
      <w:r>
        <w:t>Selection: a minimum of 10% of all clinical specimens, and not fewer than 20 specimens, stratified to include at least one specimen per subject, at least 3 specimens per dose cohort, and specimens spanning the reportable range including the lowest decile of observed concentrations.</w:t>
      </w:r>
    </w:p>
    <w:p>
      <w:pPr>
        <w:pStyle w:val="ListBullet2"/>
      </w:pPr>
      <w:r>
        <w:t>Timing: the first ISR set is run after the first 3 subjects complete Week 8 — early enough that a failure can still change the method before the top-dose cohort of 9 accrues.</w:t>
      </w:r>
    </w:p>
    <w:p>
      <w:r>
        <w:rPr>
          <w:b/>
          <w:sz w:val="20"/>
        </w:rPr>
        <w:t>Acceptance criteria:</w:t>
      </w:r>
    </w:p>
    <w:p>
      <w:pPr>
        <w:pStyle w:val="ListBullet2"/>
      </w:pPr>
      <w:r>
        <w:t>ISR pass: ≥ 67% of repeat pairs within ±30% of the pair mean (FDA ligand-binding-assay criterion).</w:t>
      </w:r>
    </w:p>
    <w:p>
      <w:pPr>
        <w:pStyle w:val="ListBullet2"/>
      </w:pPr>
      <w:r>
        <w:t>Bias criterion, applied jointly and not in the alternative: the geometric mean of (repeat / original) must lie within 0.90–1.10, and no more than 75% of pairs may fall on the same side of unity.</w:t>
      </w:r>
    </w:p>
    <w:p>
      <w:pPr>
        <w:pStyle w:val="ListBullet2"/>
      </w:pPr>
      <w:r>
        <w:t>Tightened criterion required before any Tier 2 (efficacy-supporting) use: ≥ 80% of pairs within ±20% and geometric mean ratio within 0.95–1.05.</w:t>
      </w:r>
    </w:p>
    <w:p>
      <w:pPr>
        <w:pStyle w:val="ListBullet2"/>
      </w:pPr>
      <w:r>
        <w:t>ISR results are tabulated with pair-level data, not summarized as a pass statement.</w:t>
      </w:r>
    </w:p>
    <w:p>
      <w:r>
        <w:rPr>
          <w:b/>
          <w:sz w:val="20"/>
        </w:rPr>
        <w:t>Disposition on failure:</w:t>
      </w:r>
    </w:p>
    <w:p>
      <w:pPr>
        <w:pStyle w:val="ListBullet2"/>
      </w:pPr>
      <w:r>
        <w:t>ISR failure on either the ±30%/67% criterion or the bias criterion: the method is not used to report values for any purpose beyond Tier 1 until the cause is identified and corrected, and ISR is repeated and passes. Values already reported under Tier 1 are re-issued with the ISR outcome attached.</w:t>
      </w:r>
    </w:p>
    <w:p>
      <w:pPr>
        <w:pStyle w:val="ListBullet2"/>
      </w:pPr>
      <w:r>
        <w:t>Bias-criterion failure specifically triggers review of S-5 batching and of the S-2 lot log, since a directional shift implicates run-level rather than specimen-level causes.</w:t>
      </w:r>
    </w:p>
    <w:p>
      <w:pPr>
        <w:pStyle w:val="ListBullet2"/>
      </w:pPr>
      <w:r>
        <w:t>Failure is reported to Regulatory within 5 business days for assessment of whether an IND amendment is warranted, and to the IMM before the next dose-escalation decision.</w:t>
      </w:r>
    </w:p>
    <w:p>
      <w:r>
        <w:rPr>
          <w:b/>
          <w:sz w:val="20"/>
        </w:rPr>
        <w:t>Basis on file / on desk:</w:t>
      </w:r>
    </w:p>
    <w:p>
      <w:pPr>
        <w:pStyle w:val="ListBullet2"/>
      </w:pPr>
      <w:r>
        <w:t>§4.7: the only reanalysis data on the desk are 12 cross-plate pairs in mouse brain homogenate — median absolute difference 16.0%, maximum 27.9%, 12 of 12 in the same direction, geometric mean ratio 1.197. That set passes the ±30%/67% criterion (12 of 12) and fails the bias criterion (1.197), which is exactly why both are specified. No ISR exists in CSF, in any species, or in human specimens of any kind, and ISR is not mentioned anywhere on the filed record.</w:t>
      </w:r>
    </w:p>
    <w:p>
      <w:r>
        <w:rPr>
          <w:b/>
          <w:sz w:val="22"/>
        </w:rPr>
        <w:t>S-5  Batching and plate-assignment control for within-subject comparisons</w:t>
      </w:r>
    </w:p>
    <w:p>
      <w:r>
        <w:rPr>
          <w:b/>
          <w:sz w:val="20"/>
        </w:rPr>
        <w:t>Control materials:</w:t>
      </w:r>
    </w:p>
    <w:p>
      <w:pPr>
        <w:pStyle w:val="ListBullet2"/>
      </w:pPr>
      <w:r>
        <w:t>BRIDGE-CSF: a single pooled human CSF control, one lot reserved for the study duration, single-use aliquots, assayed in duplicate on every clinical plate, used as the inter-run drift monitor.</w:t>
      </w:r>
    </w:p>
    <w:p>
      <w:pPr>
        <w:pStyle w:val="ListBullet2"/>
      </w:pPr>
      <w:r>
        <w:t>Retained aliquots of every clinical specimen, sufficient in number to permit the batched re-assay this specification requires.</w:t>
      </w:r>
    </w:p>
    <w:p>
      <w:r>
        <w:rPr>
          <w:b/>
          <w:sz w:val="20"/>
        </w:rPr>
        <w:t>Acceptance criteria:</w:t>
      </w:r>
    </w:p>
    <w:p>
      <w:pPr>
        <w:pStyle w:val="ListBullet2"/>
      </w:pPr>
      <w:r>
        <w:t>Primary rule: all timepoints for a given subject (Day 0, Weeks 4, 8, 12, 24) constitute one analytical batch and are assayed in a single run, on a single plate, from a single reagent lot, by a single analyst. The subject-level percent-change values that support the protocol §8.4.3 analysis are generated only from such a batched run.</w:t>
      </w:r>
    </w:p>
    <w:p>
      <w:pPr>
        <w:pStyle w:val="ListBullet2"/>
      </w:pPr>
      <w:r>
        <w:t>Plate layout within a batch: a subject’s timepoints occupy contiguous wells in a single column, ordered by visit, so that any residual positional gradient is common to the whole series.</w:t>
      </w:r>
    </w:p>
    <w:p>
      <w:pPr>
        <w:pStyle w:val="ListBullet2"/>
      </w:pPr>
      <w:r>
        <w:t>Interim (unbatched) analysis is permitted for real-time safety and escalation support, and its results are labelled "interim — unbatched, not for endpoint analysis" in the analytical dataset. The endpoint dataset is built exclusively from batched runs.</w:t>
      </w:r>
    </w:p>
    <w:p>
      <w:pPr>
        <w:pStyle w:val="ListBullet2"/>
      </w:pPr>
      <w:r>
        <w:t>Inter-run drift monitor: BRIDGE-CSF on every plate must fall within ±20% of its established target, and the rolling mean of the last 5 runs must fall within ±10%.</w:t>
      </w:r>
    </w:p>
    <w:p>
      <w:pPr>
        <w:pStyle w:val="ListBullet2"/>
      </w:pPr>
      <w:r>
        <w:t>If a subject’s series cannot be assayed in one run (insufficient volume, aliquot loss, subject withdrawal mid-series), the split point is pre-declared, the two runs share reagent lot and analyst, and BRIDGE-CSF must agree within ±10% between them.</w:t>
      </w:r>
    </w:p>
    <w:p>
      <w:r>
        <w:rPr>
          <w:b/>
          <w:sz w:val="20"/>
        </w:rPr>
        <w:t>Disposition on failure:</w:t>
      </w:r>
    </w:p>
    <w:p>
      <w:pPr>
        <w:pStyle w:val="ListBullet2"/>
      </w:pPr>
      <w:r>
        <w:t>A subject-level series assayed across runs without a pre-declared split and without BRIDGE-CSF agreement within ±10%: the series is re-assayed from retained aliquots in a single run. If retained volume is insufficient, the series is reported as evaluable for target-engagement direction only and is excluded from the quantitative paired analysis, with the exclusion and its reason stated in the clinical study report.</w:t>
      </w:r>
    </w:p>
    <w:p>
      <w:pPr>
        <w:pStyle w:val="ListBullet2"/>
      </w:pPr>
      <w:r>
        <w:t>BRIDGE-CSF outside ±20% on a plate: the run is rejected under S-3.</w:t>
      </w:r>
    </w:p>
    <w:p>
      <w:pPr>
        <w:pStyle w:val="ListBullet2"/>
      </w:pPr>
      <w:r>
        <w:t>Rolling-mean drift outside ±10%: analysis continues but an investigation is opened, and the next ISR set (S-4) is pulled forward.</w:t>
      </w:r>
    </w:p>
    <w:p>
      <w:r>
        <w:rPr>
          <w:b/>
          <w:sz w:val="20"/>
        </w:rPr>
        <w:t>Basis on file / on desk:</w:t>
      </w:r>
    </w:p>
    <w:p>
      <w:pPr>
        <w:pStyle w:val="ListBullet2"/>
      </w:pPr>
      <w:r>
        <w:t>§4.4 (absolute inter-plate drift of 3.45× to 4.93× in QC concentration), §4.6 (positional bias to +28.5%) and §4.7 (19.7% directional between-run bias) taken together mean that a Day-0 to Week-24 comparison spanning two runs carries a between-run uncertainty of the same magnitude as the 10% effect the filed protocol is powered to detect (§8.2.2). Batching converts an inter-run comparison into an intra-run one and is the single highest-value control in this document. It is also the control the filed method already relies on in the mouse work — 4.2.1.1 splits treatment groups across plates for precisely this reason — so this specification transfers an existing sponsor practice into the clinic rather than inventing one.</w:t>
      </w:r>
    </w:p>
    <w:p>
      <w:r>
        <w:rPr>
          <w:b/>
          <w:sz w:val="22"/>
        </w:rPr>
        <w:t>S-6  Human-CSF matrix qualification (gate for Tier 2 / efficacy-supporting use)</w:t>
      </w:r>
    </w:p>
    <w:p>
      <w:r>
        <w:rPr>
          <w:b/>
          <w:sz w:val="20"/>
        </w:rPr>
        <w:t>Control materials:</w:t>
      </w:r>
    </w:p>
    <w:p>
      <w:pPr>
        <w:pStyle w:val="ListBullet2"/>
      </w:pPr>
      <w:r>
        <w:t>CAL-HU (recombinant HuPrP23-231) as calibrator; surrogate matrix for calibration to be qualified against authentic human CSF as below.</w:t>
      </w:r>
    </w:p>
    <w:p>
      <w:pPr>
        <w:pStyle w:val="ListBullet2"/>
      </w:pPr>
      <w:r>
        <w:t>Individual human CSF lots: a minimum of 10 lots from distinct donors, including at least 3 from PRNP mutation carriers and at least 3 from symptomatic prion disease patients, given the disease-sink effect on CSF PrP described in filed protocol §2.1.</w:t>
      </w:r>
    </w:p>
    <w:p>
      <w:pPr>
        <w:pStyle w:val="ListBullet2"/>
      </w:pPr>
      <w:r>
        <w:t>QC-CSF-LO / -MID / -HI (S-2); CSF-BLANK-HU and BLOOD-SPIKE panel (S-1).</w:t>
      </w:r>
    </w:p>
    <w:p>
      <w:pPr>
        <w:pStyle w:val="ListBullet2"/>
      </w:pPr>
      <w:r>
        <w:t>Hemolysed, high-total-protein and PRNP-genotype-stratified lots for selectivity.</w:t>
      </w:r>
    </w:p>
    <w:p>
      <w:r>
        <w:rPr>
          <w:b/>
          <w:sz w:val="20"/>
        </w:rPr>
        <w:t>Acceptance criteria:</w:t>
      </w:r>
    </w:p>
    <w:p>
      <w:pPr>
        <w:pStyle w:val="ListBullet2"/>
      </w:pPr>
      <w:r>
        <w:t>Selectivity: in each of ≥ 10 individual CSF lots, spiked recovery within ±20% of nominal at LLOQ and mid-range; ≥ 80% of lots must pass and no lot may exceed ±30%.</w:t>
      </w:r>
    </w:p>
    <w:p>
      <w:pPr>
        <w:pStyle w:val="ListBullet2"/>
      </w:pPr>
      <w:r>
        <w:t>Matrix effect / surrogate-matrix suitability: mean recovery in authentic human CSF within ±15% of recovery in the surrogate calibration matrix.</w:t>
      </w:r>
    </w:p>
    <w:p>
      <w:pPr>
        <w:pStyle w:val="ListBullet2"/>
      </w:pPr>
      <w:r>
        <w:t>Parallelism / dilutional linearity: ≥ 4 dilutions across the reportable range, each dilution-corrected result within ±25% of the mean of the parallel series; the validated dilution range is defined as the widest contiguous span meeting this bound.</w:t>
      </w:r>
    </w:p>
    <w:p>
      <w:pPr>
        <w:pStyle w:val="ListBullet2"/>
      </w:pPr>
      <w:r>
        <w:t>Accuracy and precision: within-run and between-run, 3 QC levels, ≥ 5 replicates, ≥ 6 runs, ≥ 2 analysts. Accuracy within ±20% of nominal (±25% at LLOQ); within-run and between-run CV ≤ 20% (≤ 25% at LLOQ); total error ≤ 30%.</w:t>
      </w:r>
    </w:p>
    <w:p>
      <w:pPr>
        <w:pStyle w:val="ListBullet2"/>
      </w:pPr>
      <w:r>
        <w:t>Sensitivity: LLOQ confirmed at ≤ 0.128 ng/mL with accuracy within ±25% and CV ≤ 25% in authentic human CSF, in ≥ 5 independent runs.</w:t>
      </w:r>
    </w:p>
    <w:p>
      <w:pPr>
        <w:pStyle w:val="ListBullet2"/>
      </w:pPr>
      <w:r>
        <w:t>Specificity: no interference from recombinant human PrP fragments, from hemoglobin at the S-1 gate threshold, or from 2439-exNA at the maximum expected CSF concentration from the filed PK data — measured PrP change ≤ 10% at each challenge. The drug-interference test is mandatory; the assay is being used on post-dose specimens containing drug.</w:t>
      </w:r>
    </w:p>
    <w:p>
      <w:pPr>
        <w:pStyle w:val="ListBullet2"/>
      </w:pPr>
      <w:r>
        <w:t>Stability in human CSF: bench-top at room temperature and on ice, freeze-thaw to the S-1 limit plus one, long-term at –80 °C bracketing the longest specimen storage interval in the study, and processed-sample stability. Mean concentration within ±20% of the T=0 value at every condition claimed.</w:t>
      </w:r>
    </w:p>
    <w:p>
      <w:pPr>
        <w:pStyle w:val="ListBullet2"/>
      </w:pPr>
      <w:r>
        <w:t>Container qualification: recovery in the specified polypropylene aliquot cryovial within ±15% of a freshly-collected reference, after the storage interval claimed.</w:t>
      </w:r>
    </w:p>
    <w:p>
      <w:pPr>
        <w:pStyle w:val="ListBullet2"/>
      </w:pPr>
      <w:r>
        <w:t>Reporting: the qualification protocol is submitted to the Division for review and comment before execution, and the completed report is submitted before any Tier 2 use, per Comment 4(d).</w:t>
      </w:r>
    </w:p>
    <w:p>
      <w:r>
        <w:rPr>
          <w:b/>
          <w:sz w:val="20"/>
        </w:rPr>
        <w:t>Disposition on failure:</w:t>
      </w:r>
    </w:p>
    <w:p>
      <w:pPr>
        <w:pStyle w:val="ListBullet2"/>
      </w:pPr>
      <w:r>
        <w:t>Any criterion not met: Tier 2 use is not claimed. The specific criterion, the observed value and the corrective action are reported in the validation report; the reportable range, the claimed matrix, or the claimed context of use is narrowed to what the data support rather than the criterion being widened to fit the data.</w:t>
      </w:r>
    </w:p>
    <w:p>
      <w:pPr>
        <w:pStyle w:val="ListBullet2"/>
      </w:pPr>
      <w:r>
        <w:t>Selectivity failure confined to an identifiable subpopulation (e.g. symptomatic lots with high total protein): the context of use is restricted to exclude that subpopulation, and the restriction is stated in the protocol and on every report.</w:t>
      </w:r>
    </w:p>
    <w:p>
      <w:pPr>
        <w:pStyle w:val="ListBullet2"/>
      </w:pPr>
      <w:r>
        <w:t>Drug-interference failure: post-dose specimens are not reported quantitatively until an interference-tolerant format is qualified.</w:t>
      </w:r>
    </w:p>
    <w:p>
      <w:r>
        <w:rPr>
          <w:b/>
          <w:sz w:val="20"/>
        </w:rPr>
        <w:t>Basis on file / on desk:</w:t>
      </w:r>
    </w:p>
    <w:p>
      <w:pPr>
        <w:pStyle w:val="ListBullet2"/>
      </w:pPr>
      <w:r>
        <w:t>No human CSF data of any kind exist on the desk or on the filed record (§4.2, §6). The human-reactivity claim in 4.2.1.1 rests on a literature citation and on Tg26372 humanized-mouse brain homogenate, which supports antibody specificity for human PrP but is not a human-CSF matrix qualification. Bounds follow the filed 4.2.2.1.10 structure at ligand-binding-assay tolerances.</w:t>
      </w:r>
    </w:p>
    <w:p>
      <w:pPr>
        <w:pStyle w:val="Heading1"/>
      </w:pPr>
      <w:r>
        <w:t>8. Proposed response language for the Comment 4 amendment</w:t>
      </w:r>
    </w:p>
    <w:p>
      <w:r>
        <w:rPr>
          <w:b w:val="0"/>
          <w:i w:val="0"/>
        </w:rPr>
        <w:t>For Regulatory to adapt. It concedes the gap, states the narrow claim, and commits to the specifications above with dates. It does not assert a filed validation or a filed acceptance rule, because neither exists.</w:t>
      </w:r>
    </w:p>
    <w:p>
      <w:pPr>
        <w:ind w:left="504"/>
      </w:pPr>
      <w:r>
        <w:rPr>
          <w:i/>
        </w:rPr>
        <w:t>"The sponsor confirms that CSF total PrP is not currently used, and will not be used, as a biomarker to support efficacy. Its context of use in the symptomatic single-ascending-dose study is confined to within-subject relative change from each subject’s own pre-dose baseline, in support of target-engagement confirmation, dose selection, and the PK/PD characterization requested in Clinical Pharmacology Comment 6. It is not used as an efficacy endpoint, as a surrogate for clinical benefit, for individual treatment decisions, or for comparison of absolute concentrations between subjects.</w:t>
        <w:br/>
        <w:br/>
        <w:t>The sponsor further confirms that the method has not been validated in human cerebrospinal fluid. The in-house sandwich ELISA described in Module 4.2.1.1 was developed and characterized in mouse brain hemisphere homogenate, and the sponsor’s available performance data (16 analytical runs across 10 nonclinical studies) are in that matrix. The sponsor holds no human CSF performance data and makes no claim of validated accuracy, specificity, sensitivity, or precision in human CSF at this time. No numeric run-acceptance criteria for this method are presently on the record for this IND.</w:t>
        <w:br/>
        <w:br/>
        <w:t>The sponsor has established prospective specifications for specimen integrity control, critical-reagent and control-material lot control, numeric run acceptance, incurred-sample reanalysis, and batching of within-subject specimen series, which will be in force before any clinical CSF specimen is reported. These are provided in Attachment [X]. A human-CSF method qualification protocol addressing selectivity, matrix effect, parallelism, accuracy and precision, sensitivity, drug interference, and stability, with pre-specified numeric acceptance criteria, is provided in Attachment [Y]. Consistent with the Agency’s recommendation, the sponsor requests review and comment on that protocol before execution, and commits to submitting the completed validation report before any use of CSF PrP to support efficacy. The sponsor will not extend the context of use beyond that stated above without a prior amendment."</w:t>
      </w:r>
    </w:p>
    <w:p>
      <w:pPr>
        <w:pStyle w:val="Heading1"/>
      </w:pPr>
      <w:r>
        <w:t>9. Execution and sequencing</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432"/>
          </w:tcPr>
          <w:p>
            <w:r/>
            <w:r>
              <w:rPr>
                <w:b/>
                <w:sz w:val="18"/>
              </w:rPr>
              <w:t>#</w:t>
            </w:r>
          </w:p>
        </w:tc>
        <w:tc>
          <w:tcPr>
            <w:tcW w:type="dxa" w:w="4896"/>
          </w:tcPr>
          <w:p>
            <w:r/>
            <w:r>
              <w:rPr>
                <w:b/>
                <w:sz w:val="18"/>
              </w:rPr>
              <w:t>Action</w:t>
            </w:r>
          </w:p>
        </w:tc>
        <w:tc>
          <w:tcPr>
            <w:tcW w:type="dxa" w:w="2016"/>
          </w:tcPr>
          <w:p>
            <w:r/>
            <w:r>
              <w:rPr>
                <w:b/>
                <w:sz w:val="18"/>
              </w:rPr>
              <w:t>Owner</w:t>
            </w:r>
          </w:p>
        </w:tc>
        <w:tc>
          <w:tcPr>
            <w:tcW w:type="dxa" w:w="2016"/>
          </w:tcPr>
          <w:p>
            <w:r/>
            <w:r>
              <w:rPr>
                <w:b/>
                <w:sz w:val="18"/>
              </w:rPr>
              <w:t>Gate it releases</w:t>
            </w:r>
          </w:p>
        </w:tc>
      </w:tr>
      <w:tr>
        <w:tc>
          <w:tcPr>
            <w:tcW w:type="dxa" w:w="432"/>
          </w:tcPr>
          <w:p>
            <w:r/>
            <w:r>
              <w:rPr>
                <w:sz w:val="18"/>
              </w:rPr>
              <w:t>1</w:t>
            </w:r>
          </w:p>
        </w:tc>
        <w:tc>
          <w:tcPr>
            <w:tcW w:type="dxa" w:w="4896"/>
          </w:tcPr>
          <w:p>
            <w:r/>
            <w:r>
              <w:rPr>
                <w:sz w:val="18"/>
              </w:rPr>
              <w:t>Establish human CSF pools, CSF-BLANK-HU, CSF-SPIKE and QC-CSF materials; assign lots and reserve for study duration</w:t>
            </w:r>
          </w:p>
        </w:tc>
        <w:tc>
          <w:tcPr>
            <w:tcW w:type="dxa" w:w="2016"/>
          </w:tcPr>
          <w:p>
            <w:r/>
            <w:r>
              <w:rPr>
                <w:sz w:val="18"/>
              </w:rPr>
              <w:t>Bioanalytical</w:t>
            </w:r>
          </w:p>
        </w:tc>
        <w:tc>
          <w:tcPr>
            <w:tcW w:type="dxa" w:w="2016"/>
          </w:tcPr>
          <w:p>
            <w:r/>
            <w:r>
              <w:rPr>
                <w:sz w:val="18"/>
              </w:rPr>
              <w:t>S-1, S-2, S-6</w:t>
            </w:r>
          </w:p>
        </w:tc>
      </w:tr>
      <w:tr>
        <w:tc>
          <w:tcPr>
            <w:tcW w:type="dxa" w:w="432"/>
          </w:tcPr>
          <w:p>
            <w:r/>
            <w:r>
              <w:rPr>
                <w:sz w:val="18"/>
              </w:rPr>
              <w:t>2</w:t>
            </w:r>
          </w:p>
        </w:tc>
        <w:tc>
          <w:tcPr>
            <w:tcW w:type="dxa" w:w="4896"/>
          </w:tcPr>
          <w:p>
            <w:r/>
            <w:r>
              <w:rPr>
                <w:sz w:val="18"/>
              </w:rPr>
              <w:t>Issue collection and handling SOP implementing S-1; amend both protocols’ laboratory-manual sections to carry the numeric gates</w:t>
            </w:r>
          </w:p>
        </w:tc>
        <w:tc>
          <w:tcPr>
            <w:tcW w:type="dxa" w:w="2016"/>
          </w:tcPr>
          <w:p>
            <w:r/>
            <w:r>
              <w:rPr>
                <w:sz w:val="18"/>
              </w:rPr>
              <w:t>Translational + Clinical Ops</w:t>
            </w:r>
          </w:p>
        </w:tc>
        <w:tc>
          <w:tcPr>
            <w:tcW w:type="dxa" w:w="2016"/>
          </w:tcPr>
          <w:p>
            <w:r/>
            <w:r>
              <w:rPr>
                <w:sz w:val="18"/>
              </w:rPr>
              <w:t>S-1</w:t>
            </w:r>
          </w:p>
        </w:tc>
      </w:tr>
      <w:tr>
        <w:tc>
          <w:tcPr>
            <w:tcW w:type="dxa" w:w="432"/>
          </w:tcPr>
          <w:p>
            <w:r/>
            <w:r>
              <w:rPr>
                <w:sz w:val="18"/>
              </w:rPr>
              <w:t>3</w:t>
            </w:r>
          </w:p>
        </w:tc>
        <w:tc>
          <w:tcPr>
            <w:tcW w:type="dxa" w:w="4896"/>
          </w:tcPr>
          <w:p>
            <w:r/>
            <w:r>
              <w:rPr>
                <w:sz w:val="18"/>
              </w:rPr>
              <w:t>Issue run-acceptance SOP implementing S-3; qualify analysts against it</w:t>
            </w:r>
          </w:p>
        </w:tc>
        <w:tc>
          <w:tcPr>
            <w:tcW w:type="dxa" w:w="2016"/>
          </w:tcPr>
          <w:p>
            <w:r/>
            <w:r>
              <w:rPr>
                <w:sz w:val="18"/>
              </w:rPr>
              <w:t>Bioanalytical + QA</w:t>
            </w:r>
          </w:p>
        </w:tc>
        <w:tc>
          <w:tcPr>
            <w:tcW w:type="dxa" w:w="2016"/>
          </w:tcPr>
          <w:p>
            <w:r/>
            <w:r>
              <w:rPr>
                <w:sz w:val="18"/>
              </w:rPr>
              <w:t>S-3</w:t>
            </w:r>
          </w:p>
        </w:tc>
      </w:tr>
      <w:tr>
        <w:tc>
          <w:tcPr>
            <w:tcW w:type="dxa" w:w="432"/>
          </w:tcPr>
          <w:p>
            <w:r/>
            <w:r>
              <w:rPr>
                <w:sz w:val="18"/>
              </w:rPr>
              <w:t>4</w:t>
            </w:r>
          </w:p>
        </w:tc>
        <w:tc>
          <w:tcPr>
            <w:tcW w:type="dxa" w:w="4896"/>
          </w:tcPr>
          <w:p>
            <w:r/>
            <w:r>
              <w:rPr>
                <w:sz w:val="18"/>
              </w:rPr>
              <w:t>Retrospectively apply S-3 to the 16 historical plates and issue the tabulated outcome as a validation-report appendix (10 of 16 accept)</w:t>
            </w:r>
          </w:p>
        </w:tc>
        <w:tc>
          <w:tcPr>
            <w:tcW w:type="dxa" w:w="2016"/>
          </w:tcPr>
          <w:p>
            <w:r/>
            <w:r>
              <w:rPr>
                <w:sz w:val="18"/>
              </w:rPr>
              <w:t>Translational</w:t>
            </w:r>
          </w:p>
        </w:tc>
        <w:tc>
          <w:tcPr>
            <w:tcW w:type="dxa" w:w="2016"/>
          </w:tcPr>
          <w:p>
            <w:r/>
            <w:r>
              <w:rPr>
                <w:sz w:val="18"/>
              </w:rPr>
              <w:t>Credibility of S-3 with the reviewer</w:t>
            </w:r>
          </w:p>
        </w:tc>
      </w:tr>
      <w:tr>
        <w:tc>
          <w:tcPr>
            <w:tcW w:type="dxa" w:w="432"/>
          </w:tcPr>
          <w:p>
            <w:r/>
            <w:r>
              <w:rPr>
                <w:sz w:val="18"/>
              </w:rPr>
              <w:t>5</w:t>
            </w:r>
          </w:p>
        </w:tc>
        <w:tc>
          <w:tcPr>
            <w:tcW w:type="dxa" w:w="4896"/>
          </w:tcPr>
          <w:p>
            <w:r/>
            <w:r>
              <w:rPr>
                <w:sz w:val="18"/>
              </w:rPr>
              <w:t>Execute and report the plate-114 lot-bridge failure as the first S-2 bridging record</w:t>
            </w:r>
          </w:p>
        </w:tc>
        <w:tc>
          <w:tcPr>
            <w:tcW w:type="dxa" w:w="2016"/>
          </w:tcPr>
          <w:p>
            <w:r/>
            <w:r>
              <w:rPr>
                <w:sz w:val="18"/>
              </w:rPr>
              <w:t>Bioanalytical</w:t>
            </w:r>
          </w:p>
        </w:tc>
        <w:tc>
          <w:tcPr>
            <w:tcW w:type="dxa" w:w="2016"/>
          </w:tcPr>
          <w:p>
            <w:r/>
            <w:r>
              <w:rPr>
                <w:sz w:val="18"/>
              </w:rPr>
              <w:t>S-2</w:t>
            </w:r>
          </w:p>
        </w:tc>
      </w:tr>
      <w:tr>
        <w:tc>
          <w:tcPr>
            <w:tcW w:type="dxa" w:w="432"/>
          </w:tcPr>
          <w:p>
            <w:r/>
            <w:r>
              <w:rPr>
                <w:sz w:val="18"/>
              </w:rPr>
              <w:t>6</w:t>
            </w:r>
          </w:p>
        </w:tc>
        <w:tc>
          <w:tcPr>
            <w:tcW w:type="dxa" w:w="4896"/>
          </w:tcPr>
          <w:p>
            <w:r/>
            <w:r>
              <w:rPr>
                <w:sz w:val="18"/>
              </w:rPr>
              <w:t>Draft the human-CSF qualification protocol per S-6 and route for Agency review under Comment 4(d)</w:t>
            </w:r>
          </w:p>
        </w:tc>
        <w:tc>
          <w:tcPr>
            <w:tcW w:type="dxa" w:w="2016"/>
          </w:tcPr>
          <w:p>
            <w:r/>
            <w:r>
              <w:rPr>
                <w:sz w:val="18"/>
              </w:rPr>
              <w:t>Regulatory + Bioanalytical</w:t>
            </w:r>
          </w:p>
        </w:tc>
        <w:tc>
          <w:tcPr>
            <w:tcW w:type="dxa" w:w="2016"/>
          </w:tcPr>
          <w:p>
            <w:r/>
            <w:r>
              <w:rPr>
                <w:sz w:val="18"/>
              </w:rPr>
              <w:t>Tier 2</w:t>
            </w:r>
          </w:p>
        </w:tc>
      </w:tr>
      <w:tr>
        <w:tc>
          <w:tcPr>
            <w:tcW w:type="dxa" w:w="432"/>
          </w:tcPr>
          <w:p>
            <w:r/>
            <w:r>
              <w:rPr>
                <w:sz w:val="18"/>
              </w:rPr>
              <w:t>7</w:t>
            </w:r>
          </w:p>
        </w:tc>
        <w:tc>
          <w:tcPr>
            <w:tcW w:type="dxa" w:w="4896"/>
          </w:tcPr>
          <w:p>
            <w:r/>
            <w:r>
              <w:rPr>
                <w:sz w:val="18"/>
              </w:rPr>
              <w:t>Execute S-6; report; then and only then amend the context of use to Tier 2 if the data support it</w:t>
            </w:r>
          </w:p>
        </w:tc>
        <w:tc>
          <w:tcPr>
            <w:tcW w:type="dxa" w:w="2016"/>
          </w:tcPr>
          <w:p>
            <w:r/>
            <w:r>
              <w:rPr>
                <w:sz w:val="18"/>
              </w:rPr>
              <w:t>Bioanalytical</w:t>
            </w:r>
          </w:p>
        </w:tc>
        <w:tc>
          <w:tcPr>
            <w:tcW w:type="dxa" w:w="2016"/>
          </w:tcPr>
          <w:p>
            <w:r/>
            <w:r>
              <w:rPr>
                <w:sz w:val="18"/>
              </w:rPr>
              <w:t>Tier 2</w:t>
            </w:r>
          </w:p>
        </w:tc>
      </w:tr>
    </w:tbl>
    <w:p/>
    <w:p>
      <w:r>
        <w:rPr>
          <w:b w:val="0"/>
          <w:i w:val="0"/>
        </w:rPr>
        <w:t>Items 1 through 5 are the gate on reporting any clinical CSF PrP value and should be complete before first-patient specimen analysis. Item 6 is the gate on efficacy-supporting use and is the item Comment 4 asks us to bring to the Division in advance.</w:t>
      </w:r>
    </w:p>
    <w:p>
      <w:pPr>
        <w:pStyle w:val="Heading1"/>
      </w:pPr>
      <w:r>
        <w:t>10. Assumptions, scope and adjacent record items</w:t>
      </w:r>
    </w:p>
    <w:p>
      <w:r>
        <w:rPr>
          <w:b/>
          <w:i w:val="0"/>
        </w:rPr>
        <w:t>Material assumptions.</w:t>
      </w:r>
    </w:p>
    <w:p>
      <w:pPr>
        <w:pStyle w:val="ListBullet"/>
      </w:pPr>
      <w:r>
        <w:t>The raw exports in raw_data/analytic/ (elisa.tsv, elisa_qc.tsv, studysheets.tsv) are taken to be the complete PrP ELISA analytic record on the translational desk. If a Battelle validation report exists, it was not available for this analysis and is not indexed in SD-11755; its contents could change §6 and would need to be reconciled before filing.</w:t>
      </w:r>
    </w:p>
    <w:p>
      <w:pPr>
        <w:pStyle w:val="ListBullet"/>
      </w:pPr>
      <w:r>
        <w:t>Sample dilution is reported as 1:200 in the QC export; 4.2.1.1 specifies 1:400 for Tg26372, consistent with the 2,000 ng/mL censoring ceiling observed in elisa.tsv. Dilution factors are quoted as reported per source and the discrepancy does not affect any conclusion above, all of which rest on ratios within a plate or on dilution-invariant comparisons.</w:t>
      </w:r>
    </w:p>
    <w:p>
      <w:pPr>
        <w:pStyle w:val="ListBullet"/>
      </w:pPr>
      <w:r>
        <w:t>The qcrel field is treated as each QC’s value relative to the on-plate high QC; the high-QC ratios (median 1.001, CV 2.6%) are consistent with that reading.</w:t>
      </w:r>
    </w:p>
    <w:p>
      <w:pPr>
        <w:pStyle w:val="ListBullet"/>
      </w:pPr>
      <w:r>
        <w:t>The 12 cross-plate pairs in §4.7 are treated as re-assay of the same incurred homogenate aliquot on two plates. If they represent independent re-homogenization, the observed spread includes a sample-preparation component and the between-run bias attributable to the assay is smaller than 19.7% — which would strengthen, not weaken, the defense. The batching control in S-5 is warranted either way.</w:t>
      </w:r>
    </w:p>
    <w:p>
      <w:pPr>
        <w:pStyle w:val="ListBullet"/>
      </w:pPr>
      <w:r>
        <w:t>Provisional numeric bounds are flagged as such in S-1 (hemoglobin threshold) and S-6 (surrogate matrix). All other bounds are fixed.</w:t>
      </w:r>
    </w:p>
    <w:p>
      <w:r>
        <w:rPr>
          <w:b/>
          <w:i w:val="0"/>
        </w:rPr>
        <w:t>Scope.</w:t>
      </w:r>
    </w:p>
    <w:p>
      <w:pPr>
        <w:pStyle w:val="ListBullet"/>
      </w:pPr>
      <w:r>
        <w:t>This document addresses Clinical Comment 4 only. It takes no position on the hold deficiency (GLP intrathecal toxicity study in cynomolgus monkey), on Clinical Comments 1, 2, 3 and 5, or on the CMC comments.</w:t>
      </w:r>
    </w:p>
    <w:p>
      <w:pPr>
        <w:pStyle w:val="ListBullet"/>
      </w:pPr>
      <w:r>
        <w:t>It applies to the symptomatic protocol, which may proceed. The presymptomatic protocol carries the same endpoint and the same method, so the specifications above should be applied to it as written when that protocol resumes; the Agency has stated it has no comments on the presymptomatic protocol at this time, which is not a finding that the assay is adequate for it.</w:t>
      </w:r>
    </w:p>
    <w:p>
      <w:r>
        <w:rPr>
          <w:b/>
          <w:i w:val="0"/>
        </w:rPr>
        <w:t>Two adjacent record items Regulatory should resolve before filing.</w:t>
      </w:r>
    </w:p>
    <w:p>
      <w:pPr>
        <w:pStyle w:val="ListBullet"/>
      </w:pPr>
      <w:r>
        <w:t>Filing route. The hold letter states that responses to non-hold issues "should be addressed in a separate amendment to the IND." REGOPS-DRAFT-2025-04-09 (complete-response skeleton v1, §1 and §4) instead combines the non-hold responses with the hold-deficiency response in a single submission. That is contrary to the letter’s instruction, and it exposes the Comment 4 response — including this document — to the risk of being treated as part of an incomplete complete-response package, which would not start the 30-day review clock. Recommend filing the Comment 4 response as a separate amendment as instructed, or obtaining the review division’s explicit agreement to combined filing in writing first.</w:t>
      </w:r>
    </w:p>
    <w:p>
      <w:pPr>
        <w:pStyle w:val="ListBullet"/>
      </w:pPr>
      <w:r>
        <w:t>Reference ID. REGOPS-MEMO-2025-04-02 and the hold letter itself both carry Reference ID 5570921; the complete-response skeleton carries 5570291. One of these is a transposition error and should be corrected before either document is filed.</w:t>
      </w:r>
    </w:p>
    <w:p/>
    <w:p>
      <w:r>
        <w:rPr>
          <w:b w:val="0"/>
          <w:i/>
          <w:sz w:val="18"/>
        </w:rPr>
        <w:t>End of 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