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i w:val="0"/>
          <w:sz w:val="19"/>
        </w:rPr>
        <w:t>BROAD INSTITUTE OF MIT AND HARVARD — PRION THERAPEUTICS</w:t>
      </w:r>
    </w:p>
    <w:p>
      <w:pPr>
        <w:spacing w:after="200"/>
      </w:pPr>
      <w:r>
        <w:rPr>
          <w:b/>
          <w:i w:val="0"/>
          <w:sz w:val="19"/>
        </w:rPr>
        <w:t>REGULATORY OPERATIONS — CONTROLLED DOCUMENT</w:t>
      </w:r>
    </w:p>
    <w:p>
      <w:pPr>
        <w:spacing w:after="80"/>
      </w:pPr>
      <w:r>
        <w:rPr>
          <w:b/>
          <w:color w:val="1F3B57"/>
          <w:sz w:val="38"/>
        </w:rPr>
        <w:t>IND 167326 — Partial Clinical Hold</w:t>
        <w:br/>
        <w:t>Adjudication and Protocol Partitioning Plan</w:t>
      </w:r>
    </w:p>
    <w:p>
      <w:pPr>
        <w:spacing w:after="240"/>
      </w:pPr>
      <w:r>
        <w:rPr>
          <w:b w:val="0"/>
          <w:i w:val="0"/>
          <w:sz w:val="22"/>
        </w:rPr>
        <w:t>PrP-lowering divalent siRNA 2439-exNA  |  Division of Neurology 1, Office of Neuroscience, CDER</w:t>
      </w:r>
    </w:p>
    <w:tbl>
      <w:tblPr>
        <w:tblStyle w:val="TableGrid"/>
        <w:tblW w:type="auto" w:w="0"/>
        <w:jc w:val="center"/>
        <w:tblLook w:firstColumn="1" w:firstRow="1" w:lastColumn="0" w:lastRow="0" w:noHBand="0" w:noVBand="1" w:val="04A0"/>
      </w:tblPr>
      <w:tblGrid>
        <w:gridCol w:w="4824"/>
        <w:gridCol w:w="4824"/>
      </w:tblGrid>
      <w:tr>
        <w:trPr>
          <w:tblHeader/>
        </w:trPr>
        <w:tc>
          <w:tcPr>
            <w:tcW w:type="dxa" w:w="2160"/>
            <w:shd w:val="clear" w:color="auto" w:fill="1F3B57"/>
          </w:tcPr>
          <w:p>
            <w:pPr>
              <w:spacing w:after="40" w:before="40" w:line="240" w:lineRule="auto"/>
            </w:pPr>
            <w:r>
              <w:rPr>
                <w:color w:val="FFFFFF"/>
              </w:rPr>
            </w:r>
            <w:r>
              <w:rPr>
                <w:b/>
                <w:i w:val="0"/>
                <w:color w:val="FFFFFF"/>
                <w:sz w:val="19"/>
              </w:rPr>
              <w:t>Field</w:t>
            </w:r>
          </w:p>
        </w:tc>
        <w:tc>
          <w:tcPr>
            <w:tcW w:type="dxa" w:w="7632"/>
            <w:shd w:val="clear" w:color="auto" w:fill="1F3B57"/>
          </w:tcPr>
          <w:p>
            <w:pPr>
              <w:spacing w:after="40" w:before="40" w:line="240" w:lineRule="auto"/>
            </w:pPr>
            <w:r>
              <w:rPr>
                <w:color w:val="FFFFFF"/>
              </w:rPr>
            </w:r>
            <w:r>
              <w:rPr>
                <w:b/>
                <w:i w:val="0"/>
                <w:color w:val="FFFFFF"/>
                <w:sz w:val="19"/>
              </w:rPr>
              <w:t>Entry</w:t>
            </w:r>
          </w:p>
        </w:tc>
      </w:tr>
      <w:tr>
        <w:tc>
          <w:tcPr>
            <w:tcW w:type="dxa" w:w="2160"/>
          </w:tcPr>
          <w:p>
            <w:pPr>
              <w:spacing w:after="40" w:before="40" w:line="240" w:lineRule="auto"/>
            </w:pPr>
            <w:r/>
            <w:r>
              <w:rPr>
                <w:b w:val="0"/>
                <w:i w:val="0"/>
                <w:sz w:val="19"/>
              </w:rPr>
              <w:t>Document title</w:t>
            </w:r>
          </w:p>
        </w:tc>
        <w:tc>
          <w:tcPr>
            <w:tcW w:type="dxa" w:w="7632"/>
          </w:tcPr>
          <w:p>
            <w:pPr>
              <w:spacing w:after="40" w:before="40" w:line="240" w:lineRule="auto"/>
            </w:pPr>
            <w:r/>
            <w:r>
              <w:rPr>
                <w:b w:val="0"/>
                <w:i w:val="0"/>
                <w:sz w:val="19"/>
              </w:rPr>
              <w:t>IND 167326 Hold Adjudication and Partitioning Plan</w:t>
            </w:r>
          </w:p>
        </w:tc>
      </w:tr>
      <w:tr>
        <w:tc>
          <w:tcPr>
            <w:tcW w:type="dxa" w:w="2160"/>
            <w:shd w:val="clear" w:color="auto" w:fill="F2F5F8"/>
          </w:tcPr>
          <w:p>
            <w:pPr>
              <w:spacing w:after="40" w:before="40" w:line="240" w:lineRule="auto"/>
            </w:pPr>
            <w:r/>
            <w:r>
              <w:rPr>
                <w:b w:val="0"/>
                <w:i w:val="0"/>
                <w:sz w:val="19"/>
              </w:rPr>
              <w:t>Document status</w:t>
            </w:r>
          </w:p>
        </w:tc>
        <w:tc>
          <w:tcPr>
            <w:tcW w:type="dxa" w:w="7632"/>
            <w:shd w:val="clear" w:color="auto" w:fill="F2F5F8"/>
          </w:tcPr>
          <w:p>
            <w:pPr>
              <w:spacing w:after="40" w:before="40" w:line="240" w:lineRule="auto"/>
            </w:pPr>
            <w:r/>
            <w:r>
              <w:rPr>
                <w:b w:val="0"/>
                <w:i w:val="0"/>
                <w:sz w:val="19"/>
              </w:rPr>
              <w:t>BINDING ON REGULATORY OPERATIONS upon issuance. Supersedes all prior internal planning positions on the disposition of the partial clinical hold.</w:t>
            </w:r>
          </w:p>
        </w:tc>
      </w:tr>
      <w:tr>
        <w:tc>
          <w:tcPr>
            <w:tcW w:type="dxa" w:w="2160"/>
          </w:tcPr>
          <w:p>
            <w:pPr>
              <w:spacing w:after="40" w:before="40" w:line="240" w:lineRule="auto"/>
            </w:pPr>
            <w:r/>
            <w:r>
              <w:rPr>
                <w:b w:val="0"/>
                <w:i w:val="0"/>
                <w:sz w:val="19"/>
              </w:rPr>
              <w:t>Controlling instrument</w:t>
            </w:r>
          </w:p>
        </w:tc>
        <w:tc>
          <w:tcPr>
            <w:tcW w:type="dxa" w:w="7632"/>
          </w:tcPr>
          <w:p>
            <w:pPr>
              <w:spacing w:after="40" w:before="40" w:line="240" w:lineRule="auto"/>
            </w:pPr>
            <w:r/>
            <w:r>
              <w:rPr>
                <w:b w:val="0"/>
                <w:i w:val="0"/>
                <w:sz w:val="19"/>
              </w:rPr>
              <w:t>FDA PARTIAL CLINICAL HOLD letter, IND 167326, Reference ID 5570921, signed electronically by Emily Freilich, MD, Director, Division of Neurology 1, 11 April 2025, memorializing the hold notified to the sponsor by email dated 14 March 2025.</w:t>
            </w:r>
          </w:p>
        </w:tc>
      </w:tr>
      <w:tr>
        <w:tc>
          <w:tcPr>
            <w:tcW w:type="dxa" w:w="2160"/>
            <w:shd w:val="clear" w:color="auto" w:fill="F2F5F8"/>
          </w:tcPr>
          <w:p>
            <w:pPr>
              <w:spacing w:after="40" w:before="40" w:line="240" w:lineRule="auto"/>
            </w:pPr>
            <w:r/>
            <w:r>
              <w:rPr>
                <w:b w:val="0"/>
                <w:i w:val="0"/>
                <w:sz w:val="19"/>
              </w:rPr>
              <w:t>Prepared for</w:t>
            </w:r>
          </w:p>
        </w:tc>
        <w:tc>
          <w:tcPr>
            <w:tcW w:type="dxa" w:w="7632"/>
            <w:shd w:val="clear" w:color="auto" w:fill="F2F5F8"/>
          </w:tcPr>
          <w:p>
            <w:pPr>
              <w:spacing w:after="40" w:before="40" w:line="240" w:lineRule="auto"/>
            </w:pPr>
            <w:r/>
            <w:r>
              <w:rPr>
                <w:b w:val="0"/>
                <w:i w:val="0"/>
                <w:sz w:val="19"/>
              </w:rPr>
              <w:t>Steering Committee (next scheduled session)</w:t>
            </w:r>
          </w:p>
        </w:tc>
      </w:tr>
      <w:tr>
        <w:tc>
          <w:tcPr>
            <w:tcW w:type="dxa" w:w="2160"/>
          </w:tcPr>
          <w:p>
            <w:pPr>
              <w:spacing w:after="40" w:before="40" w:line="240" w:lineRule="auto"/>
            </w:pPr>
            <w:r/>
            <w:r>
              <w:rPr>
                <w:b w:val="0"/>
                <w:i w:val="0"/>
                <w:sz w:val="19"/>
              </w:rPr>
              <w:t>Prepared by</w:t>
            </w:r>
          </w:p>
        </w:tc>
        <w:tc>
          <w:tcPr>
            <w:tcW w:type="dxa" w:w="7632"/>
          </w:tcPr>
          <w:p>
            <w:pPr>
              <w:spacing w:after="40" w:before="40" w:line="240" w:lineRule="auto"/>
            </w:pPr>
            <w:r/>
            <w:r>
              <w:rPr>
                <w:b w:val="0"/>
                <w:i w:val="0"/>
                <w:sz w:val="19"/>
              </w:rPr>
              <w:t>Regulatory Operations, at the direction of E. Minikel, PhD, Senior Director, Prion Therapeutics / Medical Affairs</w:t>
            </w:r>
          </w:p>
        </w:tc>
      </w:tr>
      <w:tr>
        <w:tc>
          <w:tcPr>
            <w:tcW w:type="dxa" w:w="2160"/>
            <w:shd w:val="clear" w:color="auto" w:fill="F2F5F8"/>
          </w:tcPr>
          <w:p>
            <w:pPr>
              <w:spacing w:after="40" w:before="40" w:line="240" w:lineRule="auto"/>
            </w:pPr>
            <w:r/>
            <w:r>
              <w:rPr>
                <w:b w:val="0"/>
                <w:i w:val="0"/>
                <w:sz w:val="19"/>
              </w:rPr>
              <w:t>Scope</w:t>
            </w:r>
          </w:p>
        </w:tc>
        <w:tc>
          <w:tcPr>
            <w:tcW w:type="dxa" w:w="7632"/>
            <w:shd w:val="clear" w:color="auto" w:fill="F2F5F8"/>
          </w:tcPr>
          <w:p>
            <w:pPr>
              <w:spacing w:after="40" w:before="40" w:line="240" w:lineRule="auto"/>
            </w:pPr>
            <w:r/>
            <w:r>
              <w:rPr>
                <w:b w:val="0"/>
                <w:i w:val="0"/>
                <w:sz w:val="19"/>
              </w:rPr>
              <w:t>Both protocols filed under IND 167326; all submissions, communications and study-conduct activities arising from the hold.</w:t>
            </w:r>
          </w:p>
        </w:tc>
      </w:tr>
      <w:tr>
        <w:tc>
          <w:tcPr>
            <w:tcW w:type="dxa" w:w="2160"/>
          </w:tcPr>
          <w:p>
            <w:pPr>
              <w:spacing w:after="40" w:before="40" w:line="240" w:lineRule="auto"/>
            </w:pPr>
            <w:r/>
            <w:r>
              <w:rPr>
                <w:b w:val="0"/>
                <w:i w:val="0"/>
                <w:sz w:val="19"/>
              </w:rPr>
              <w:t>Reconciled against</w:t>
            </w:r>
          </w:p>
        </w:tc>
        <w:tc>
          <w:tcPr>
            <w:tcW w:type="dxa" w:w="7632"/>
          </w:tcPr>
          <w:p>
            <w:pPr>
              <w:spacing w:after="40" w:before="40" w:line="240" w:lineRule="auto"/>
            </w:pPr>
            <w:r/>
            <w:r>
              <w:rPr>
                <w:b w:val="0"/>
                <w:i w:val="0"/>
                <w:sz w:val="19"/>
              </w:rPr>
              <w:t>REGOPS-MEMO-2025-04-02 (hold response strategy); REGOPS-DRAFT-2025-04-09 (complete response skeleton v1); NONCLIN-MINUTES-2025-04-08 (GLP bridging options); BA-MEMO-2025-03-19 (PrP ELISA readiness).</w:t>
            </w:r>
          </w:p>
        </w:tc>
      </w:tr>
      <w:tr>
        <w:tc>
          <w:tcPr>
            <w:tcW w:type="dxa" w:w="2160"/>
            <w:shd w:val="clear" w:color="auto" w:fill="F2F5F8"/>
          </w:tcPr>
          <w:p>
            <w:pPr>
              <w:spacing w:after="40" w:before="40" w:line="240" w:lineRule="auto"/>
            </w:pPr>
            <w:r/>
            <w:r>
              <w:rPr>
                <w:b w:val="0"/>
                <w:i w:val="0"/>
                <w:sz w:val="19"/>
              </w:rPr>
              <w:t>Rule of construction</w:t>
            </w:r>
          </w:p>
        </w:tc>
        <w:tc>
          <w:tcPr>
            <w:tcW w:type="dxa" w:w="7632"/>
            <w:shd w:val="clear" w:color="auto" w:fill="F2F5F8"/>
          </w:tcPr>
          <w:p>
            <w:pPr>
              <w:spacing w:after="40" w:before="40" w:line="240" w:lineRule="auto"/>
            </w:pPr>
            <w:r/>
            <w:r>
              <w:rPr>
                <w:b w:val="0"/>
                <w:i w:val="0"/>
                <w:sz w:val="19"/>
              </w:rPr>
              <w:t>Where this plan and any other internal document conflict, this plan governs. Where this plan and the controlling instrument conflict, the controlling instrument governs and this plan is deemed amended to conform.</w:t>
            </w:r>
          </w:p>
        </w:tc>
      </w:tr>
    </w:tbl>
    <w:p>
      <w:pPr>
        <w:spacing w:after="40"/>
      </w:pPr>
    </w:p>
    <w:p>
      <w:r>
        <w:br w:type="page"/>
      </w:r>
    </w:p>
    <w:p>
      <w:pPr>
        <w:pStyle w:val="Heading1"/>
      </w:pPr>
      <w:r>
        <w:t>Article 1 — Purpose, Authority and Citation Convention</w:t>
      </w:r>
    </w:p>
    <w:p>
      <w:r>
        <w:rPr>
          <w:b w:val="0"/>
          <w:i w:val="0"/>
        </w:rPr>
        <w:t>This plan states what the sponsor may and may not do under IND 167326 following the partial clinical hold, and fixes the submissions by which the hold is to be answered. It is drafted from the four corners of the FDA letter. Statements below are labelled to show their source of authority, and Regulatory Operations shall treat those labels as operative:</w:t>
      </w:r>
    </w:p>
    <w:tbl>
      <w:tblPr>
        <w:tblStyle w:val="TableGrid"/>
        <w:tblW w:type="auto" w:w="0"/>
        <w:jc w:val="center"/>
        <w:tblLook w:firstColumn="1" w:firstRow="1" w:lastColumn="0" w:lastRow="0" w:noHBand="0" w:noVBand="1" w:val="04A0"/>
      </w:tblPr>
      <w:tblGrid>
        <w:gridCol w:w="3216"/>
        <w:gridCol w:w="3216"/>
        <w:gridCol w:w="3216"/>
      </w:tblGrid>
      <w:tr>
        <w:trPr>
          <w:tblHeader/>
        </w:trPr>
        <w:tc>
          <w:tcPr>
            <w:tcW w:type="dxa" w:w="2520"/>
            <w:shd w:val="clear" w:color="auto" w:fill="1F3B57"/>
          </w:tcPr>
          <w:p>
            <w:pPr>
              <w:spacing w:after="40" w:before="40" w:line="240" w:lineRule="auto"/>
            </w:pPr>
            <w:r>
              <w:rPr>
                <w:color w:val="FFFFFF"/>
              </w:rPr>
            </w:r>
            <w:r>
              <w:rPr>
                <w:b/>
                <w:i w:val="0"/>
                <w:color w:val="FFFFFF"/>
                <w:sz w:val="18"/>
              </w:rPr>
              <w:t>Label</w:t>
            </w:r>
          </w:p>
        </w:tc>
        <w:tc>
          <w:tcPr>
            <w:tcW w:type="dxa" w:w="3672"/>
            <w:shd w:val="clear" w:color="auto" w:fill="1F3B57"/>
          </w:tcPr>
          <w:p>
            <w:pPr>
              <w:spacing w:after="40" w:before="40" w:line="240" w:lineRule="auto"/>
            </w:pPr>
            <w:r>
              <w:rPr>
                <w:color w:val="FFFFFF"/>
              </w:rPr>
            </w:r>
            <w:r>
              <w:rPr>
                <w:b/>
                <w:i w:val="0"/>
                <w:color w:val="FFFFFF"/>
                <w:sz w:val="18"/>
              </w:rPr>
              <w:t>Meaning</w:t>
            </w:r>
          </w:p>
        </w:tc>
        <w:tc>
          <w:tcPr>
            <w:tcW w:type="dxa" w:w="3672"/>
            <w:shd w:val="clear" w:color="auto" w:fill="1F3B57"/>
          </w:tcPr>
          <w:p>
            <w:pPr>
              <w:spacing w:after="40" w:before="40" w:line="240" w:lineRule="auto"/>
            </w:pPr>
            <w:r>
              <w:rPr>
                <w:color w:val="FFFFFF"/>
              </w:rPr>
            </w:r>
            <w:r>
              <w:rPr>
                <w:b/>
                <w:i w:val="0"/>
                <w:color w:val="FFFFFF"/>
                <w:sz w:val="18"/>
              </w:rPr>
              <w:t>Effect</w:t>
            </w:r>
          </w:p>
        </w:tc>
      </w:tr>
      <w:tr>
        <w:tc>
          <w:tcPr>
            <w:tcW w:type="dxa" w:w="2520"/>
          </w:tcPr>
          <w:p>
            <w:pPr>
              <w:spacing w:after="40" w:before="40" w:line="240" w:lineRule="auto"/>
            </w:pPr>
            <w:r/>
            <w:r>
              <w:rPr>
                <w:b w:val="0"/>
                <w:i w:val="0"/>
                <w:sz w:val="18"/>
              </w:rPr>
              <w:t>FIXED BY LETTER</w:t>
            </w:r>
          </w:p>
        </w:tc>
        <w:tc>
          <w:tcPr>
            <w:tcW w:type="dxa" w:w="3672"/>
          </w:tcPr>
          <w:p>
            <w:pPr>
              <w:spacing w:after="40" w:before="40" w:line="240" w:lineRule="auto"/>
            </w:pPr>
            <w:r/>
            <w:r>
              <w:rPr>
                <w:b w:val="0"/>
                <w:i w:val="0"/>
                <w:sz w:val="18"/>
              </w:rPr>
              <w:t>The letter decides the point in its own words.</w:t>
            </w:r>
          </w:p>
        </w:tc>
        <w:tc>
          <w:tcPr>
            <w:tcW w:type="dxa" w:w="3672"/>
          </w:tcPr>
          <w:p>
            <w:pPr>
              <w:spacing w:after="40" w:before="40" w:line="240" w:lineRule="auto"/>
            </w:pPr>
            <w:r/>
            <w:r>
              <w:rPr>
                <w:b w:val="0"/>
                <w:i w:val="0"/>
                <w:sz w:val="18"/>
              </w:rPr>
              <w:t>Not open to internal renegotiation. Deviation requires a written Agency communication.</w:t>
            </w:r>
          </w:p>
        </w:tc>
      </w:tr>
      <w:tr>
        <w:tc>
          <w:tcPr>
            <w:tcW w:type="dxa" w:w="2520"/>
            <w:shd w:val="clear" w:color="auto" w:fill="F2F5F8"/>
          </w:tcPr>
          <w:p>
            <w:pPr>
              <w:spacing w:after="40" w:before="40" w:line="240" w:lineRule="auto"/>
            </w:pPr>
            <w:r/>
            <w:r>
              <w:rPr>
                <w:b w:val="0"/>
                <w:i w:val="0"/>
                <w:sz w:val="18"/>
              </w:rPr>
              <w:t>LETTER SILENT — SPONSOR DETERMINATION</w:t>
            </w:r>
          </w:p>
        </w:tc>
        <w:tc>
          <w:tcPr>
            <w:tcW w:type="dxa" w:w="3672"/>
            <w:shd w:val="clear" w:color="auto" w:fill="F2F5F8"/>
          </w:tcPr>
          <w:p>
            <w:pPr>
              <w:spacing w:after="40" w:before="40" w:line="240" w:lineRule="auto"/>
            </w:pPr>
            <w:r/>
            <w:r>
              <w:rPr>
                <w:b w:val="0"/>
                <w:i w:val="0"/>
                <w:sz w:val="18"/>
              </w:rPr>
              <w:t>The letter does not address the point; this plan resolves it.</w:t>
            </w:r>
          </w:p>
        </w:tc>
        <w:tc>
          <w:tcPr>
            <w:tcW w:type="dxa" w:w="3672"/>
            <w:shd w:val="clear" w:color="auto" w:fill="F2F5F8"/>
          </w:tcPr>
          <w:p>
            <w:pPr>
              <w:spacing w:after="40" w:before="40" w:line="240" w:lineRule="auto"/>
            </w:pPr>
            <w:r/>
            <w:r>
              <w:rPr>
                <w:b w:val="0"/>
                <w:i w:val="0"/>
                <w:sz w:val="18"/>
              </w:rPr>
              <w:t>Binding internally. May be revised by change control under Article 12.</w:t>
            </w:r>
          </w:p>
        </w:tc>
      </w:tr>
      <w:tr>
        <w:tc>
          <w:tcPr>
            <w:tcW w:type="dxa" w:w="2520"/>
          </w:tcPr>
          <w:p>
            <w:pPr>
              <w:spacing w:after="40" w:before="40" w:line="240" w:lineRule="auto"/>
            </w:pPr>
            <w:r/>
            <w:r>
              <w:rPr>
                <w:b w:val="0"/>
                <w:i w:val="0"/>
                <w:sz w:val="18"/>
              </w:rPr>
              <w:t>LETTER SILENT — UNRESOLVED</w:t>
            </w:r>
          </w:p>
        </w:tc>
        <w:tc>
          <w:tcPr>
            <w:tcW w:type="dxa" w:w="3672"/>
          </w:tcPr>
          <w:p>
            <w:pPr>
              <w:spacing w:after="40" w:before="40" w:line="240" w:lineRule="auto"/>
            </w:pPr>
            <w:r/>
            <w:r>
              <w:rPr>
                <w:b w:val="0"/>
                <w:i w:val="0"/>
                <w:sz w:val="18"/>
              </w:rPr>
              <w:t>The letter does not address the point and no reasonable internal inference closes it.</w:t>
            </w:r>
          </w:p>
        </w:tc>
        <w:tc>
          <w:tcPr>
            <w:tcW w:type="dxa" w:w="3672"/>
          </w:tcPr>
          <w:p>
            <w:pPr>
              <w:spacing w:after="40" w:before="40" w:line="240" w:lineRule="auto"/>
            </w:pPr>
            <w:r/>
            <w:r>
              <w:rPr>
                <w:b w:val="0"/>
                <w:i w:val="0"/>
                <w:sz w:val="18"/>
              </w:rPr>
              <w:t>Must be closed with the Division (Regulatory Health Project Manager) before the dependent activity proceeds.</w:t>
            </w:r>
          </w:p>
        </w:tc>
      </w:tr>
    </w:tbl>
    <w:p>
      <w:pPr>
        <w:spacing w:after="40"/>
      </w:pPr>
    </w:p>
    <w:p>
      <w:pPr>
        <w:pStyle w:val="Heading2"/>
      </w:pPr>
      <w:r>
        <w:t>1.1  Citation convention (mandatory)</w:t>
      </w:r>
    </w:p>
    <w:p>
      <w:pPr>
        <w:spacing w:after="100"/>
        <w:ind w:left="461" w:hanging="461"/>
      </w:pPr>
      <w:r>
        <w:rPr>
          <w:b/>
        </w:rPr>
        <w:t xml:space="preserve">1.1.1  </w:t>
      </w:r>
      <w:r>
        <w:t>The instrument shall be cited in all internal and external documents as: “FDA partial clinical hold, IND 167326, notified by email 14 March 2025, letter Reference ID 5570921 signed 11 April 2025.” The email notification date (14 March 2025) is the date the hold took effect; the letter is the written statement of the deficiency. Neither date may be used alone where the other is material.</w:t>
      </w:r>
      <w:r>
        <w:t xml:space="preserve"> </w:t>
      </w:r>
      <w:r>
        <w:rPr>
          <w:i/>
        </w:rPr>
        <w:t>[FIXED BY LETTER — the letter itself recites both dates.]</w:t>
      </w:r>
    </w:p>
    <w:p>
      <w:pPr>
        <w:spacing w:after="100"/>
        <w:ind w:left="461" w:hanging="461"/>
      </w:pPr>
      <w:r>
        <w:rPr>
          <w:b/>
        </w:rPr>
        <w:t xml:space="preserve">1.1.2  </w:t>
      </w:r>
      <w:r>
        <w:t>Reference ID 5570921 is the correct identifier of the controlling instrument. The identifier “5570291” appearing in the Regulatory Operations draft skeleton of 9 April 2025 is a transposition error and shall not be carried into any submission, slide, or tracker.</w:t>
      </w:r>
    </w:p>
    <w:p>
      <w:pPr>
        <w:spacing w:after="100"/>
        <w:ind w:left="461" w:hanging="461"/>
      </w:pPr>
      <w:r>
        <w:rPr>
          <w:b/>
        </w:rPr>
        <w:t xml:space="preserve">1.1.3  </w:t>
      </w:r>
      <w:r>
        <w:t>Secondary materials — strategy memos, minutes, slide decks and remembered routing — have no authority under this plan. Where they diverge from the letter, Article 8 records the divergence and the ruling.</w:t>
      </w:r>
    </w:p>
    <w:p>
      <w:pPr>
        <w:pStyle w:val="Heading1"/>
      </w:pPr>
      <w:r>
        <w:t>Article 2 — Recitals: the facts the letter fixes</w:t>
      </w:r>
    </w:p>
    <w:p>
      <w:r>
        <w:rPr>
          <w:b w:val="0"/>
          <w:i/>
          <w:sz w:val="19"/>
        </w:rPr>
        <w:t>Each row is drawn from the letter and is not subject to internal reinterpretation.</w:t>
      </w:r>
    </w:p>
    <w:tbl>
      <w:tblPr>
        <w:tblStyle w:val="TableGrid"/>
        <w:tblW w:type="auto" w:w="0"/>
        <w:jc w:val="center"/>
        <w:tblLook w:firstColumn="1" w:firstRow="1" w:lastColumn="0" w:lastRow="0" w:noHBand="0" w:noVBand="1" w:val="04A0"/>
      </w:tblPr>
      <w:tblGrid>
        <w:gridCol w:w="4824"/>
        <w:gridCol w:w="4824"/>
      </w:tblGrid>
      <w:tr>
        <w:trPr>
          <w:tblHeader/>
        </w:trPr>
        <w:tc>
          <w:tcPr>
            <w:tcW w:type="dxa" w:w="720"/>
            <w:shd w:val="clear" w:color="auto" w:fill="1F3B57"/>
          </w:tcPr>
          <w:p>
            <w:pPr>
              <w:spacing w:after="40" w:before="40" w:line="240" w:lineRule="auto"/>
            </w:pPr>
            <w:r>
              <w:rPr>
                <w:color w:val="FFFFFF"/>
              </w:rPr>
            </w:r>
            <w:r>
              <w:rPr>
                <w:b/>
                <w:i w:val="0"/>
                <w:color w:val="FFFFFF"/>
                <w:sz w:val="18"/>
              </w:rPr>
              <w:t>#</w:t>
            </w:r>
          </w:p>
        </w:tc>
        <w:tc>
          <w:tcPr>
            <w:tcW w:type="dxa" w:w="9072"/>
            <w:shd w:val="clear" w:color="auto" w:fill="1F3B57"/>
          </w:tcPr>
          <w:p>
            <w:pPr>
              <w:spacing w:after="40" w:before="40" w:line="240" w:lineRule="auto"/>
            </w:pPr>
            <w:r>
              <w:rPr>
                <w:color w:val="FFFFFF"/>
              </w:rPr>
            </w:r>
            <w:r>
              <w:rPr>
                <w:b/>
                <w:i w:val="0"/>
                <w:color w:val="FFFFFF"/>
                <w:sz w:val="18"/>
              </w:rPr>
              <w:t>Fact fixed by the letter</w:t>
            </w:r>
          </w:p>
        </w:tc>
      </w:tr>
      <w:tr>
        <w:tc>
          <w:tcPr>
            <w:tcW w:type="dxa" w:w="720"/>
          </w:tcPr>
          <w:p>
            <w:pPr>
              <w:spacing w:after="40" w:before="40" w:line="240" w:lineRule="auto"/>
            </w:pPr>
            <w:r/>
            <w:r>
              <w:rPr>
                <w:b w:val="0"/>
                <w:i w:val="0"/>
                <w:sz w:val="18"/>
              </w:rPr>
              <w:t>R-1</w:t>
            </w:r>
          </w:p>
        </w:tc>
        <w:tc>
          <w:tcPr>
            <w:tcW w:type="dxa" w:w="9072"/>
          </w:tcPr>
          <w:p>
            <w:pPr>
              <w:spacing w:after="40" w:before="40" w:line="240" w:lineRule="auto"/>
            </w:pPr>
            <w:r/>
            <w:r>
              <w:rPr>
                <w:b w:val="0"/>
                <w:i w:val="0"/>
                <w:sz w:val="18"/>
              </w:rPr>
              <w:t>The application is an IND under section 505(i) FD&amp;C Act for PrP-lowering divalent siRNA 2439-exNA.</w:t>
            </w:r>
          </w:p>
        </w:tc>
      </w:tr>
      <w:tr>
        <w:tc>
          <w:tcPr>
            <w:tcW w:type="dxa" w:w="720"/>
            <w:shd w:val="clear" w:color="auto" w:fill="F2F5F8"/>
          </w:tcPr>
          <w:p>
            <w:pPr>
              <w:spacing w:after="40" w:before="40" w:line="240" w:lineRule="auto"/>
            </w:pPr>
            <w:r/>
            <w:r>
              <w:rPr>
                <w:b w:val="0"/>
                <w:i w:val="0"/>
                <w:sz w:val="18"/>
              </w:rPr>
              <w:t>R-2</w:t>
            </w:r>
          </w:p>
        </w:tc>
        <w:tc>
          <w:tcPr>
            <w:tcW w:type="dxa" w:w="9072"/>
            <w:shd w:val="clear" w:color="auto" w:fill="F2F5F8"/>
          </w:tcPr>
          <w:p>
            <w:pPr>
              <w:spacing w:after="40" w:before="40" w:line="240" w:lineRule="auto"/>
            </w:pPr>
            <w:r/>
            <w:r>
              <w:rPr>
                <w:b w:val="0"/>
                <w:i w:val="0"/>
                <w:sz w:val="18"/>
              </w:rPr>
              <w:t>The IND contains 2 distinct protocols and has been placed on PARTIAL clinical hold. The hold is partial: it separates the two protocols rather than stopping the IND.</w:t>
            </w:r>
          </w:p>
        </w:tc>
      </w:tr>
      <w:tr>
        <w:tc>
          <w:tcPr>
            <w:tcW w:type="dxa" w:w="720"/>
          </w:tcPr>
          <w:p>
            <w:pPr>
              <w:spacing w:after="40" w:before="40" w:line="240" w:lineRule="auto"/>
            </w:pPr>
            <w:r/>
            <w:r>
              <w:rPr>
                <w:b w:val="0"/>
                <w:i w:val="0"/>
                <w:sz w:val="18"/>
              </w:rPr>
              <w:t>R-3</w:t>
            </w:r>
          </w:p>
        </w:tc>
        <w:tc>
          <w:tcPr>
            <w:tcW w:type="dxa" w:w="9072"/>
          </w:tcPr>
          <w:p>
            <w:pPr>
              <w:spacing w:after="40" w:before="40" w:line="240" w:lineRule="auto"/>
            </w:pPr>
            <w:r/>
            <w:r>
              <w:rPr>
                <w:b w:val="0"/>
                <w:i w:val="0"/>
                <w:sz w:val="18"/>
              </w:rPr>
              <w:t>The letter refers to the sponsor’s amendment dated 7 February 2025 and the amended protocol submitted 6 March 2025.</w:t>
            </w:r>
          </w:p>
        </w:tc>
      </w:tr>
      <w:tr>
        <w:tc>
          <w:tcPr>
            <w:tcW w:type="dxa" w:w="720"/>
            <w:shd w:val="clear" w:color="auto" w:fill="F2F5F8"/>
          </w:tcPr>
          <w:p>
            <w:pPr>
              <w:spacing w:after="40" w:before="40" w:line="240" w:lineRule="auto"/>
            </w:pPr>
            <w:r/>
            <w:r>
              <w:rPr>
                <w:b w:val="0"/>
                <w:i w:val="0"/>
                <w:sz w:val="18"/>
              </w:rPr>
              <w:t>R-4</w:t>
            </w:r>
          </w:p>
        </w:tc>
        <w:tc>
          <w:tcPr>
            <w:tcW w:type="dxa" w:w="9072"/>
            <w:shd w:val="clear" w:color="auto" w:fill="F2F5F8"/>
          </w:tcPr>
          <w:p>
            <w:pPr>
              <w:spacing w:after="40" w:before="40" w:line="240" w:lineRule="auto"/>
            </w:pPr>
            <w:r/>
            <w:r>
              <w:rPr>
                <w:b w:val="0"/>
                <w:i w:val="0"/>
                <w:sz w:val="18"/>
              </w:rPr>
              <w:t>The symptomatic protocol (“…in adult patients with symptomatic prion disease”) MAY PROCEED.</w:t>
            </w:r>
          </w:p>
        </w:tc>
      </w:tr>
      <w:tr>
        <w:tc>
          <w:tcPr>
            <w:tcW w:type="dxa" w:w="720"/>
          </w:tcPr>
          <w:p>
            <w:pPr>
              <w:spacing w:after="40" w:before="40" w:line="240" w:lineRule="auto"/>
            </w:pPr>
            <w:r/>
            <w:r>
              <w:rPr>
                <w:b w:val="0"/>
                <w:i w:val="0"/>
                <w:sz w:val="18"/>
              </w:rPr>
              <w:t>R-5</w:t>
            </w:r>
          </w:p>
        </w:tc>
        <w:tc>
          <w:tcPr>
            <w:tcW w:type="dxa" w:w="9072"/>
          </w:tcPr>
          <w:p>
            <w:pPr>
              <w:spacing w:after="40" w:before="40" w:line="240" w:lineRule="auto"/>
            </w:pPr>
            <w:r/>
            <w:r>
              <w:rPr>
                <w:b w:val="0"/>
                <w:i w:val="0"/>
                <w:sz w:val="18"/>
              </w:rPr>
              <w:t>The presymptomatic protocol (“…in healthy adult patients at genetic risk for prion disease”) is ON CLINICAL HOLD and MAY NOT BE INITIATED.</w:t>
            </w:r>
          </w:p>
        </w:tc>
      </w:tr>
      <w:tr>
        <w:tc>
          <w:tcPr>
            <w:tcW w:type="dxa" w:w="720"/>
            <w:shd w:val="clear" w:color="auto" w:fill="F2F5F8"/>
          </w:tcPr>
          <w:p>
            <w:pPr>
              <w:spacing w:after="40" w:before="40" w:line="240" w:lineRule="auto"/>
            </w:pPr>
            <w:r/>
            <w:r>
              <w:rPr>
                <w:b w:val="0"/>
                <w:i w:val="0"/>
                <w:sz w:val="18"/>
              </w:rPr>
              <w:t>R-6</w:t>
            </w:r>
          </w:p>
        </w:tc>
        <w:tc>
          <w:tcPr>
            <w:tcW w:type="dxa" w:w="9072"/>
            <w:shd w:val="clear" w:color="auto" w:fill="F2F5F8"/>
          </w:tcPr>
          <w:p>
            <w:pPr>
              <w:spacing w:after="40" w:before="40" w:line="240" w:lineRule="auto"/>
            </w:pPr>
            <w:r/>
            <w:r>
              <w:rPr>
                <w:b w:val="0"/>
                <w:i w:val="0"/>
                <w:sz w:val="18"/>
              </w:rPr>
              <w:t>One deficiency is cited: 21 CFR 312.42(b)(1)(iv) — insufficient information to assess risks to human subjects.</w:t>
            </w:r>
          </w:p>
        </w:tc>
      </w:tr>
      <w:tr>
        <w:tc>
          <w:tcPr>
            <w:tcW w:type="dxa" w:w="720"/>
          </w:tcPr>
          <w:p>
            <w:pPr>
              <w:spacing w:after="40" w:before="40" w:line="240" w:lineRule="auto"/>
            </w:pPr>
            <w:r/>
            <w:r>
              <w:rPr>
                <w:b w:val="0"/>
                <w:i w:val="0"/>
                <w:sz w:val="18"/>
              </w:rPr>
              <w:t>R-7</w:t>
            </w:r>
          </w:p>
        </w:tc>
        <w:tc>
          <w:tcPr>
            <w:tcW w:type="dxa" w:w="9072"/>
          </w:tcPr>
          <w:p>
            <w:pPr>
              <w:spacing w:after="40" w:before="40" w:line="240" w:lineRule="auto"/>
            </w:pPr>
            <w:r/>
            <w:r>
              <w:rPr>
                <w:b w:val="0"/>
                <w:i w:val="0"/>
                <w:sz w:val="18"/>
              </w:rPr>
              <w:t>The stated basis: nonclinical data are adequate for the symptomatic study but not for the study in healthy patients at genetic risk; 2439-exNA is not pharmacologically active in rat or dog, so on-target effects were not assessed; it is pharmacologically active in cynomolgus monkey; and there are concerns that reducing prion protein may adversely affect neurobehavioral function (Wulf et al. 2017).</w:t>
            </w:r>
          </w:p>
        </w:tc>
      </w:tr>
      <w:tr>
        <w:tc>
          <w:tcPr>
            <w:tcW w:type="dxa" w:w="720"/>
            <w:shd w:val="clear" w:color="auto" w:fill="F2F5F8"/>
          </w:tcPr>
          <w:p>
            <w:pPr>
              <w:spacing w:after="40" w:before="40" w:line="240" w:lineRule="auto"/>
            </w:pPr>
            <w:r/>
            <w:r>
              <w:rPr>
                <w:b w:val="0"/>
                <w:i w:val="0"/>
                <w:sz w:val="18"/>
              </w:rPr>
              <w:t>R-8</w:t>
            </w:r>
          </w:p>
        </w:tc>
        <w:tc>
          <w:tcPr>
            <w:tcW w:type="dxa" w:w="9072"/>
            <w:shd w:val="clear" w:color="auto" w:fill="F2F5F8"/>
          </w:tcPr>
          <w:p>
            <w:pPr>
              <w:spacing w:after="40" w:before="40" w:line="240" w:lineRule="auto"/>
            </w:pPr>
            <w:r/>
            <w:r>
              <w:rPr>
                <w:b w:val="0"/>
                <w:i w:val="0"/>
                <w:sz w:val="18"/>
              </w:rPr>
              <w:t>The information needed: “To support initiation of the proposed study in presymptomatic patients, you will need to conduct a GLP-compliant intrathecal toxicity study in cynomolgus monkey. The study should be of a duration similar to or greater than that proposed for humans.”</w:t>
            </w:r>
          </w:p>
        </w:tc>
      </w:tr>
      <w:tr>
        <w:tc>
          <w:tcPr>
            <w:tcW w:type="dxa" w:w="720"/>
          </w:tcPr>
          <w:p>
            <w:pPr>
              <w:spacing w:after="40" w:before="40" w:line="240" w:lineRule="auto"/>
            </w:pPr>
            <w:r/>
            <w:r>
              <w:rPr>
                <w:b w:val="0"/>
                <w:i w:val="0"/>
                <w:sz w:val="18"/>
              </w:rPr>
              <w:t>R-9</w:t>
            </w:r>
          </w:p>
        </w:tc>
        <w:tc>
          <w:tcPr>
            <w:tcW w:type="dxa" w:w="9072"/>
          </w:tcPr>
          <w:p>
            <w:pPr>
              <w:spacing w:after="40" w:before="40" w:line="240" w:lineRule="auto"/>
            </w:pPr>
            <w:r/>
            <w:r>
              <w:rPr>
                <w:b w:val="0"/>
                <w:i w:val="0"/>
                <w:sz w:val="18"/>
              </w:rPr>
              <w:t>“You may not legally initiate clinical studies except as specified above. Studies that are on clinical hold under this IND may not be initiated until you have submitted the required information and we notify you that you may initiate these clinical studies.”</w:t>
            </w:r>
          </w:p>
        </w:tc>
      </w:tr>
      <w:tr>
        <w:tc>
          <w:tcPr>
            <w:tcW w:type="dxa" w:w="720"/>
            <w:shd w:val="clear" w:color="auto" w:fill="F2F5F8"/>
          </w:tcPr>
          <w:p>
            <w:pPr>
              <w:spacing w:after="40" w:before="40" w:line="240" w:lineRule="auto"/>
            </w:pPr>
            <w:r/>
            <w:r>
              <w:rPr>
                <w:b w:val="0"/>
                <w:i w:val="0"/>
                <w:sz w:val="18"/>
              </w:rPr>
              <w:t>R-10</w:t>
            </w:r>
          </w:p>
        </w:tc>
        <w:tc>
          <w:tcPr>
            <w:tcW w:type="dxa" w:w="9072"/>
            <w:shd w:val="clear" w:color="auto" w:fill="F2F5F8"/>
          </w:tcPr>
          <w:p>
            <w:pPr>
              <w:spacing w:after="40" w:before="40" w:line="240" w:lineRule="auto"/>
            </w:pPr>
            <w:r/>
            <w:r>
              <w:rPr>
                <w:b w:val="0"/>
                <w:i w:val="0"/>
                <w:sz w:val="18"/>
              </w:rPr>
              <w:t>The response to the hold issues must be identified as a “CLINICAL HOLD COMPLETE RESPONSE.” An incomplete response will not start the review clock.</w:t>
            </w:r>
          </w:p>
        </w:tc>
      </w:tr>
      <w:tr>
        <w:tc>
          <w:tcPr>
            <w:tcW w:type="dxa" w:w="720"/>
          </w:tcPr>
          <w:p>
            <w:pPr>
              <w:spacing w:after="40" w:before="40" w:line="240" w:lineRule="auto"/>
            </w:pPr>
            <w:r/>
            <w:r>
              <w:rPr>
                <w:b w:val="0"/>
                <w:i w:val="0"/>
                <w:sz w:val="18"/>
              </w:rPr>
              <w:t>R-11</w:t>
            </w:r>
          </w:p>
        </w:tc>
        <w:tc>
          <w:tcPr>
            <w:tcW w:type="dxa" w:w="9072"/>
          </w:tcPr>
          <w:p>
            <w:pPr>
              <w:spacing w:after="40" w:before="40" w:line="240" w:lineRule="auto"/>
            </w:pPr>
            <w:r/>
            <w:r>
              <w:rPr>
                <w:b w:val="0"/>
                <w:i w:val="0"/>
                <w:sz w:val="18"/>
              </w:rPr>
              <w:t>The complete response must reference, by date, any previously submitted information necessary to fully respond to the hold issues.</w:t>
            </w:r>
          </w:p>
        </w:tc>
      </w:tr>
      <w:tr>
        <w:tc>
          <w:tcPr>
            <w:tcW w:type="dxa" w:w="720"/>
            <w:shd w:val="clear" w:color="auto" w:fill="F2F5F8"/>
          </w:tcPr>
          <w:p>
            <w:pPr>
              <w:spacing w:after="40" w:before="40" w:line="240" w:lineRule="auto"/>
            </w:pPr>
            <w:r/>
            <w:r>
              <w:rPr>
                <w:b w:val="0"/>
                <w:i w:val="0"/>
                <w:sz w:val="18"/>
              </w:rPr>
              <w:t>R-12</w:t>
            </w:r>
          </w:p>
        </w:tc>
        <w:tc>
          <w:tcPr>
            <w:tcW w:type="dxa" w:w="9072"/>
            <w:shd w:val="clear" w:color="auto" w:fill="F2F5F8"/>
          </w:tcPr>
          <w:p>
            <w:pPr>
              <w:spacing w:after="40" w:before="40" w:line="240" w:lineRule="auto"/>
            </w:pPr>
            <w:r/>
            <w:r>
              <w:rPr>
                <w:b w:val="0"/>
                <w:i w:val="0"/>
                <w:sz w:val="18"/>
              </w:rPr>
              <w:t>FDA will notify the sponsor of its decision within 30 days following receipt of the complete response.</w:t>
            </w:r>
          </w:p>
        </w:tc>
      </w:tr>
      <w:tr>
        <w:tc>
          <w:tcPr>
            <w:tcW w:type="dxa" w:w="720"/>
          </w:tcPr>
          <w:p>
            <w:pPr>
              <w:spacing w:after="40" w:before="40" w:line="240" w:lineRule="auto"/>
            </w:pPr>
            <w:r/>
            <w:r>
              <w:rPr>
                <w:b w:val="0"/>
                <w:i w:val="0"/>
                <w:sz w:val="18"/>
              </w:rPr>
              <w:t>R-13</w:t>
            </w:r>
          </w:p>
        </w:tc>
        <w:tc>
          <w:tcPr>
            <w:tcW w:type="dxa" w:w="9072"/>
          </w:tcPr>
          <w:p>
            <w:pPr>
              <w:spacing w:after="40" w:before="40" w:line="240" w:lineRule="auto"/>
            </w:pPr>
            <w:r/>
            <w:r>
              <w:rPr>
                <w:b w:val="0"/>
                <w:i w:val="0"/>
                <w:sz w:val="18"/>
              </w:rPr>
              <w:t>Fourteen recommendations/requests are expressly NOT clinical hold issues (Clinical 1–5, Clinical Pharmacology 6, CMC 7–14). “Your responses to any non-hold issues should be addressed in a separate amendment to the IND.”</w:t>
            </w:r>
          </w:p>
        </w:tc>
      </w:tr>
      <w:tr>
        <w:tc>
          <w:tcPr>
            <w:tcW w:type="dxa" w:w="720"/>
            <w:shd w:val="clear" w:color="auto" w:fill="F2F5F8"/>
          </w:tcPr>
          <w:p>
            <w:pPr>
              <w:spacing w:after="40" w:before="40" w:line="240" w:lineRule="auto"/>
            </w:pPr>
            <w:r/>
            <w:r>
              <w:rPr>
                <w:b w:val="0"/>
                <w:i w:val="0"/>
                <w:sz w:val="18"/>
              </w:rPr>
              <w:t>R-14</w:t>
            </w:r>
          </w:p>
        </w:tc>
        <w:tc>
          <w:tcPr>
            <w:tcW w:type="dxa" w:w="9072"/>
            <w:shd w:val="clear" w:color="auto" w:fill="F2F5F8"/>
          </w:tcPr>
          <w:p>
            <w:pPr>
              <w:spacing w:after="40" w:before="40" w:line="240" w:lineRule="auto"/>
            </w:pPr>
            <w:r/>
            <w:r>
              <w:rPr>
                <w:b w:val="0"/>
                <w:i w:val="0"/>
                <w:sz w:val="18"/>
              </w:rPr>
              <w:t>FDA has no specific comments at this time on the presymptomatic study; all 14 non-hold comments are directed to the symptomatic SAD study or to CMC.</w:t>
            </w:r>
          </w:p>
        </w:tc>
      </w:tr>
      <w:tr>
        <w:tc>
          <w:tcPr>
            <w:tcW w:type="dxa" w:w="720"/>
          </w:tcPr>
          <w:p>
            <w:pPr>
              <w:spacing w:after="40" w:before="40" w:line="240" w:lineRule="auto"/>
            </w:pPr>
            <w:r/>
            <w:r>
              <w:rPr>
                <w:b w:val="0"/>
                <w:i w:val="0"/>
                <w:sz w:val="18"/>
              </w:rPr>
              <w:t>R-15</w:t>
            </w:r>
          </w:p>
        </w:tc>
        <w:tc>
          <w:tcPr>
            <w:tcW w:type="dxa" w:w="9072"/>
          </w:tcPr>
          <w:p>
            <w:pPr>
              <w:spacing w:after="40" w:before="40" w:line="240" w:lineRule="auto"/>
            </w:pPr>
            <w:r/>
            <w:r>
              <w:rPr>
                <w:b w:val="0"/>
                <w:i w:val="0"/>
                <w:sz w:val="18"/>
              </w:rPr>
              <w:t>Submission mechanics fixed: cite the IND number at the top of the first page of any communication; non-eCTD amendments may be filed via the CDER NextGen Portal; eCTD amendments go via the FDA Electronic Submissions Gateway (ESG); paper and physical media are accepted at CDER Central Document Room, 5901-B Ammendale Road, Beltsville, MD 20705-1266.</w:t>
            </w:r>
          </w:p>
        </w:tc>
      </w:tr>
      <w:tr>
        <w:tc>
          <w:tcPr>
            <w:tcW w:type="dxa" w:w="720"/>
            <w:shd w:val="clear" w:color="auto" w:fill="F2F5F8"/>
          </w:tcPr>
          <w:p>
            <w:pPr>
              <w:spacing w:after="40" w:before="40" w:line="240" w:lineRule="auto"/>
            </w:pPr>
            <w:r/>
            <w:r>
              <w:rPr>
                <w:b w:val="0"/>
                <w:i w:val="0"/>
                <w:sz w:val="18"/>
              </w:rPr>
              <w:t>R-16</w:t>
            </w:r>
          </w:p>
        </w:tc>
        <w:tc>
          <w:tcPr>
            <w:tcW w:type="dxa" w:w="9072"/>
            <w:shd w:val="clear" w:color="auto" w:fill="F2F5F8"/>
          </w:tcPr>
          <w:p>
            <w:pPr>
              <w:spacing w:after="40" w:before="40" w:line="240" w:lineRule="auto"/>
            </w:pPr>
            <w:r/>
            <w:r>
              <w:rPr>
                <w:b w:val="0"/>
                <w:i w:val="0"/>
                <w:sz w:val="18"/>
              </w:rPr>
              <w:t>Secure email may not be used for formal regulatory submissions to applications, except 7-day safety reports for INDs not in eCTD format.</w:t>
            </w:r>
          </w:p>
        </w:tc>
      </w:tr>
      <w:tr>
        <w:tc>
          <w:tcPr>
            <w:tcW w:type="dxa" w:w="720"/>
          </w:tcPr>
          <w:p>
            <w:pPr>
              <w:spacing w:after="40" w:before="40" w:line="240" w:lineRule="auto"/>
            </w:pPr>
            <w:r/>
            <w:r>
              <w:rPr>
                <w:b w:val="0"/>
                <w:i w:val="0"/>
                <w:sz w:val="18"/>
              </w:rPr>
              <w:t>R-17</w:t>
            </w:r>
          </w:p>
        </w:tc>
        <w:tc>
          <w:tcPr>
            <w:tcW w:type="dxa" w:w="9072"/>
          </w:tcPr>
          <w:p>
            <w:pPr>
              <w:spacing w:after="40" w:before="40" w:line="240" w:lineRule="auto"/>
            </w:pPr>
            <w:r/>
            <w:r>
              <w:rPr>
                <w:b w:val="0"/>
                <w:i w:val="0"/>
                <w:sz w:val="18"/>
              </w:rPr>
              <w:t>Agency contacts of record: Brenda Reggettz, PharmD, Regulatory Health Project Manager, (240) 402-6220; signatory Emily Freilich, MD, Director, Division of Neurology 1, Office of Neuroscience, CDER. Email addresses are redacted in the served copy and must be obtained from the RPM before any email routing is relied upon.</w:t>
            </w:r>
          </w:p>
        </w:tc>
      </w:tr>
    </w:tbl>
    <w:p>
      <w:pPr>
        <w:spacing w:after="40"/>
      </w:pPr>
    </w:p>
    <w:p>
      <w:r>
        <w:br w:type="page"/>
      </w:r>
    </w:p>
    <w:p>
      <w:pPr>
        <w:pStyle w:val="Heading1"/>
      </w:pPr>
      <w:r>
        <w:t>Article 3 — Partition of IND 167326</w:t>
      </w:r>
    </w:p>
    <w:p>
      <w:r>
        <w:rPr>
          <w:b w:val="0"/>
          <w:i w:val="0"/>
        </w:rPr>
        <w:t>The letter partitions a single IND into two regulatory regimes. Regulatory Operations shall administer the IND as two partitions from the date of this plan, with separate activity authorities and a shared submission pipeline.</w:t>
      </w:r>
    </w:p>
    <w:tbl>
      <w:tblPr>
        <w:tblStyle w:val="TableGrid"/>
        <w:tblW w:type="auto" w:w="0"/>
        <w:jc w:val="center"/>
        <w:tblLook w:firstColumn="1" w:firstRow="1" w:lastColumn="0" w:lastRow="0" w:noHBand="0" w:noVBand="1" w:val="04A0"/>
      </w:tblPr>
      <w:tblGrid>
        <w:gridCol w:w="3216"/>
        <w:gridCol w:w="3216"/>
        <w:gridCol w:w="3216"/>
      </w:tblGrid>
      <w:tr>
        <w:trPr>
          <w:tblHeader/>
        </w:trPr>
        <w:tc>
          <w:tcPr>
            <w:tcW w:type="dxa" w:w="2016"/>
            <w:shd w:val="clear" w:color="auto" w:fill="1F3B57"/>
          </w:tcPr>
          <w:p>
            <w:pPr>
              <w:spacing w:after="40" w:before="40" w:line="240" w:lineRule="auto"/>
            </w:pPr>
            <w:r>
              <w:rPr>
                <w:color w:val="FFFFFF"/>
              </w:rPr>
            </w:r>
            <w:r>
              <w:rPr>
                <w:b/>
                <w:i w:val="0"/>
                <w:color w:val="FFFFFF"/>
                <w:sz w:val="18"/>
              </w:rPr>
            </w:r>
          </w:p>
        </w:tc>
        <w:tc>
          <w:tcPr>
            <w:tcW w:type="dxa" w:w="3888"/>
            <w:shd w:val="clear" w:color="auto" w:fill="1F3B57"/>
          </w:tcPr>
          <w:p>
            <w:pPr>
              <w:spacing w:after="40" w:before="40" w:line="240" w:lineRule="auto"/>
            </w:pPr>
            <w:r>
              <w:rPr>
                <w:color w:val="FFFFFF"/>
              </w:rPr>
            </w:r>
            <w:r>
              <w:rPr>
                <w:b/>
                <w:i w:val="0"/>
                <w:color w:val="FFFFFF"/>
                <w:sz w:val="18"/>
              </w:rPr>
              <w:t>PARTITION A — “MAY PROCEED”</w:t>
            </w:r>
          </w:p>
        </w:tc>
        <w:tc>
          <w:tcPr>
            <w:tcW w:type="dxa" w:w="3888"/>
            <w:shd w:val="clear" w:color="auto" w:fill="1F3B57"/>
          </w:tcPr>
          <w:p>
            <w:pPr>
              <w:spacing w:after="40" w:before="40" w:line="240" w:lineRule="auto"/>
            </w:pPr>
            <w:r>
              <w:rPr>
                <w:color w:val="FFFFFF"/>
              </w:rPr>
            </w:r>
            <w:r>
              <w:rPr>
                <w:b/>
                <w:i w:val="0"/>
                <w:color w:val="FFFFFF"/>
                <w:sz w:val="18"/>
              </w:rPr>
              <w:t>PARTITION B — “ON HOLD”</w:t>
            </w:r>
          </w:p>
        </w:tc>
      </w:tr>
      <w:tr>
        <w:tc>
          <w:tcPr>
            <w:tcW w:type="dxa" w:w="2016"/>
          </w:tcPr>
          <w:p>
            <w:pPr>
              <w:spacing w:after="40" w:before="40" w:line="240" w:lineRule="auto"/>
            </w:pPr>
            <w:r/>
            <w:r>
              <w:rPr>
                <w:b w:val="0"/>
                <w:i w:val="0"/>
                <w:sz w:val="18"/>
              </w:rPr>
              <w:t>Protocol title (verbatim from the letter)</w:t>
            </w:r>
          </w:p>
        </w:tc>
        <w:tc>
          <w:tcPr>
            <w:tcW w:type="dxa" w:w="3888"/>
          </w:tcPr>
          <w:p>
            <w:pPr>
              <w:spacing w:after="40" w:before="40" w:line="240" w:lineRule="auto"/>
            </w:pPr>
            <w:r/>
            <w:r>
              <w:rPr>
                <w:b w:val="0"/>
                <w:i w:val="0"/>
                <w:sz w:val="18"/>
              </w:rPr>
              <w:t>“An open-label, single ascending dose study to evaluate the safety, tolerability, pharmacokinetics and pharmacodynamics of intrathecally administered PrP-siRNA in adult patients with symptomatic prion disease.”</w:t>
            </w:r>
          </w:p>
        </w:tc>
        <w:tc>
          <w:tcPr>
            <w:tcW w:type="dxa" w:w="3888"/>
          </w:tcPr>
          <w:p>
            <w:pPr>
              <w:spacing w:after="40" w:before="40" w:line="240" w:lineRule="auto"/>
            </w:pPr>
            <w:r/>
            <w:r>
              <w:rPr>
                <w:b w:val="0"/>
                <w:i w:val="0"/>
                <w:sz w:val="18"/>
              </w:rPr>
              <w:t>“An open-label, single ascending dose study to evaluate the safety, tolerability, pharmacokinetics and pharmacodynamics of intrathecally administered PrP-siRNA in healthy adult patients at genetic risk for prion disease.”</w:t>
            </w:r>
          </w:p>
        </w:tc>
      </w:tr>
      <w:tr>
        <w:tc>
          <w:tcPr>
            <w:tcW w:type="dxa" w:w="2016"/>
            <w:shd w:val="clear" w:color="auto" w:fill="F2F5F8"/>
          </w:tcPr>
          <w:p>
            <w:pPr>
              <w:spacing w:after="40" w:before="40" w:line="240" w:lineRule="auto"/>
            </w:pPr>
            <w:r/>
            <w:r>
              <w:rPr>
                <w:b w:val="0"/>
                <w:i w:val="0"/>
                <w:sz w:val="18"/>
              </w:rPr>
              <w:t>Document of record on file</w:t>
            </w:r>
          </w:p>
        </w:tc>
        <w:tc>
          <w:tcPr>
            <w:tcW w:type="dxa" w:w="3888"/>
            <w:shd w:val="clear" w:color="auto" w:fill="F2F5F8"/>
          </w:tcPr>
          <w:p>
            <w:pPr>
              <w:spacing w:after="40" w:before="40" w:line="240" w:lineRule="auto"/>
            </w:pPr>
            <w:r/>
            <w:r>
              <w:rPr>
                <w:b w:val="0"/>
                <w:i w:val="0"/>
                <w:sz w:val="18"/>
              </w:rPr>
              <w:t>Symptomatic protocol, Version 2025-03-06 v7, dated 6 March 2025 — the amended protocol the letter references (module 5.3.5.1.1).</w:t>
            </w:r>
          </w:p>
        </w:tc>
        <w:tc>
          <w:tcPr>
            <w:tcW w:type="dxa" w:w="3888"/>
            <w:shd w:val="clear" w:color="auto" w:fill="F2F5F8"/>
          </w:tcPr>
          <w:p>
            <w:pPr>
              <w:spacing w:after="40" w:before="40" w:line="240" w:lineRule="auto"/>
            </w:pPr>
            <w:r/>
            <w:r>
              <w:rPr>
                <w:b w:val="0"/>
                <w:i w:val="0"/>
                <w:sz w:val="18"/>
              </w:rPr>
              <w:t>Presymptomatic protocol, Version 2025-02-02-v6, dated 2 February 2025 — filed under the 7 February 2025 amendment (module 5.3.5.1.2).</w:t>
            </w:r>
          </w:p>
        </w:tc>
      </w:tr>
      <w:tr>
        <w:tc>
          <w:tcPr>
            <w:tcW w:type="dxa" w:w="2016"/>
          </w:tcPr>
          <w:p>
            <w:pPr>
              <w:spacing w:after="40" w:before="40" w:line="240" w:lineRule="auto"/>
            </w:pPr>
            <w:r/>
            <w:r>
              <w:rPr>
                <w:b w:val="0"/>
                <w:i w:val="0"/>
                <w:sz w:val="18"/>
              </w:rPr>
              <w:t>Status</w:t>
            </w:r>
          </w:p>
        </w:tc>
        <w:tc>
          <w:tcPr>
            <w:tcW w:type="dxa" w:w="3888"/>
          </w:tcPr>
          <w:p>
            <w:pPr>
              <w:spacing w:after="40" w:before="40" w:line="240" w:lineRule="auto"/>
            </w:pPr>
            <w:r/>
            <w:r>
              <w:rPr>
                <w:b w:val="0"/>
                <w:i w:val="0"/>
                <w:sz w:val="18"/>
              </w:rPr>
              <w:t>MAY PROCEED. Enrolment, dosing and follow-up authorised. Not affected by the hold.</w:t>
            </w:r>
          </w:p>
        </w:tc>
        <w:tc>
          <w:tcPr>
            <w:tcW w:type="dxa" w:w="3888"/>
          </w:tcPr>
          <w:p>
            <w:pPr>
              <w:spacing w:after="40" w:before="40" w:line="240" w:lineRule="auto"/>
            </w:pPr>
            <w:r/>
            <w:r>
              <w:rPr>
                <w:b w:val="0"/>
                <w:i w:val="0"/>
                <w:sz w:val="18"/>
              </w:rPr>
              <w:t>CLINICAL HOLD. MAY NOT BE INITIATED.</w:t>
            </w:r>
          </w:p>
        </w:tc>
      </w:tr>
      <w:tr>
        <w:tc>
          <w:tcPr>
            <w:tcW w:type="dxa" w:w="2016"/>
            <w:shd w:val="clear" w:color="auto" w:fill="F2F5F8"/>
          </w:tcPr>
          <w:p>
            <w:pPr>
              <w:spacing w:after="40" w:before="40" w:line="240" w:lineRule="auto"/>
            </w:pPr>
            <w:r/>
            <w:r>
              <w:rPr>
                <w:b w:val="0"/>
                <w:i w:val="0"/>
                <w:sz w:val="18"/>
              </w:rPr>
              <w:t>Nonclinical adequacy per the letter</w:t>
            </w:r>
          </w:p>
        </w:tc>
        <w:tc>
          <w:tcPr>
            <w:tcW w:type="dxa" w:w="3888"/>
            <w:shd w:val="clear" w:color="auto" w:fill="F2F5F8"/>
          </w:tcPr>
          <w:p>
            <w:pPr>
              <w:spacing w:after="40" w:before="40" w:line="240" w:lineRule="auto"/>
            </w:pPr>
            <w:r/>
            <w:r>
              <w:rPr>
                <w:b w:val="0"/>
                <w:i w:val="0"/>
                <w:sz w:val="18"/>
              </w:rPr>
              <w:t>Adequate to support the proposed study.</w:t>
            </w:r>
          </w:p>
        </w:tc>
        <w:tc>
          <w:tcPr>
            <w:tcW w:type="dxa" w:w="3888"/>
            <w:shd w:val="clear" w:color="auto" w:fill="F2F5F8"/>
          </w:tcPr>
          <w:p>
            <w:pPr>
              <w:spacing w:after="40" w:before="40" w:line="240" w:lineRule="auto"/>
            </w:pPr>
            <w:r/>
            <w:r>
              <w:rPr>
                <w:b w:val="0"/>
                <w:i w:val="0"/>
                <w:sz w:val="18"/>
              </w:rPr>
              <w:t>Not adequate; cured only as set out in Article 4.</w:t>
            </w:r>
          </w:p>
        </w:tc>
      </w:tr>
      <w:tr>
        <w:tc>
          <w:tcPr>
            <w:tcW w:type="dxa" w:w="2016"/>
          </w:tcPr>
          <w:p>
            <w:pPr>
              <w:spacing w:after="40" w:before="40" w:line="240" w:lineRule="auto"/>
            </w:pPr>
            <w:r/>
            <w:r>
              <w:rPr>
                <w:b w:val="0"/>
                <w:i w:val="0"/>
                <w:sz w:val="18"/>
              </w:rPr>
              <w:t>Design of record (both protocols)</w:t>
            </w:r>
          </w:p>
        </w:tc>
        <w:tc>
          <w:tcPr>
            <w:tcW w:type="dxa" w:w="3888"/>
          </w:tcPr>
          <w:p>
            <w:pPr>
              <w:spacing w:after="40" w:before="40" w:line="240" w:lineRule="auto"/>
            </w:pPr>
            <w:r/>
            <w:r>
              <w:rPr>
                <w:b w:val="0"/>
                <w:i w:val="0"/>
                <w:sz w:val="18"/>
              </w:rPr>
              <w:t>Open-label SAD; 50 / 100 / 200 mg intrathecal; cohorts of 3, 3 and 9; N=15; single dose per participant; end of study Day 168 ± 3.</w:t>
            </w:r>
          </w:p>
        </w:tc>
        <w:tc>
          <w:tcPr>
            <w:tcW w:type="dxa" w:w="3888"/>
          </w:tcPr>
          <w:p>
            <w:pPr>
              <w:spacing w:after="40" w:before="40" w:line="240" w:lineRule="auto"/>
            </w:pPr>
            <w:r/>
            <w:r>
              <w:rPr>
                <w:b w:val="0"/>
                <w:i w:val="0"/>
                <w:sz w:val="18"/>
              </w:rPr>
              <w:t>Open-label SAD; 50 / 100 / 200 mg intrathecal; cohorts of 3, 3 and 9; N=15; single dose per participant; end of study Day 168 ± 3.</w:t>
            </w:r>
          </w:p>
        </w:tc>
      </w:tr>
      <w:tr>
        <w:tc>
          <w:tcPr>
            <w:tcW w:type="dxa" w:w="2016"/>
            <w:shd w:val="clear" w:color="auto" w:fill="F2F5F8"/>
          </w:tcPr>
          <w:p>
            <w:pPr>
              <w:spacing w:after="40" w:before="40" w:line="240" w:lineRule="auto"/>
            </w:pPr>
            <w:r/>
            <w:r>
              <w:rPr>
                <w:b w:val="0"/>
                <w:i w:val="0"/>
                <w:sz w:val="18"/>
              </w:rPr>
              <w:t>Gating logic internal to the protocols</w:t>
            </w:r>
          </w:p>
        </w:tc>
        <w:tc>
          <w:tcPr>
            <w:tcW w:type="dxa" w:w="3888"/>
            <w:shd w:val="clear" w:color="auto" w:fill="F2F5F8"/>
          </w:tcPr>
          <w:p>
            <w:pPr>
              <w:spacing w:after="40" w:before="40" w:line="240" w:lineRule="auto"/>
            </w:pPr>
            <w:r/>
            <w:r>
              <w:rPr>
                <w:b w:val="0"/>
                <w:i w:val="0"/>
                <w:sz w:val="18"/>
              </w:rPr>
              <w:t>Sentinel dosing at each level occurs here first.</w:t>
            </w:r>
          </w:p>
        </w:tc>
        <w:tc>
          <w:tcPr>
            <w:tcW w:type="dxa" w:w="3888"/>
            <w:shd w:val="clear" w:color="auto" w:fill="F2F5F8"/>
          </w:tcPr>
          <w:p>
            <w:pPr>
              <w:spacing w:after="40" w:before="40" w:line="240" w:lineRule="auto"/>
            </w:pPr>
            <w:r/>
            <w:r>
              <w:rPr>
                <w:b w:val="0"/>
                <w:i w:val="0"/>
                <w:sz w:val="18"/>
              </w:rPr>
              <w:t>Presymptomatic protocol §5.1.5: a dose level may be studied only once 42 days have passed since the sentinel patient was dosed at that level in the symptomatic trial. This interlock survives the hold and applies again on resumption (see 6.3).</w:t>
            </w:r>
          </w:p>
        </w:tc>
      </w:tr>
    </w:tbl>
    <w:p>
      <w:pPr>
        <w:spacing w:after="40"/>
      </w:pPr>
    </w:p>
    <w:p>
      <w:pPr>
        <w:pStyle w:val="Heading2"/>
      </w:pPr>
      <w:r>
        <w:t>3.1  Permitted and prohibited activity under Partition B</w:t>
      </w:r>
    </w:p>
    <w:p>
      <w:r>
        <w:rPr>
          <w:b w:val="0"/>
          <w:i/>
          <w:sz w:val="19"/>
        </w:rPr>
        <w:t>The letter prohibits initiation of the held study and does not define “initiate.” The following table is the sponsor’s binding operational construction of that prohibition. It is deliberately conservative: the cost of an over-inclusive reading is delay, while the cost of an under-inclusive reading is an unauthorised clinical investigation under 21 CFR 312.42.</w:t>
      </w:r>
    </w:p>
    <w:tbl>
      <w:tblPr>
        <w:tblStyle w:val="TableGrid"/>
        <w:tblW w:type="auto" w:w="0"/>
        <w:jc w:val="center"/>
        <w:tblLook w:firstColumn="1" w:firstRow="1" w:lastColumn="0" w:lastRow="0" w:noHBand="0" w:noVBand="1" w:val="04A0"/>
      </w:tblPr>
      <w:tblGrid>
        <w:gridCol w:w="3216"/>
        <w:gridCol w:w="3216"/>
        <w:gridCol w:w="3216"/>
      </w:tblGrid>
      <w:tr>
        <w:trPr>
          <w:tblHeader/>
        </w:trPr>
        <w:tc>
          <w:tcPr>
            <w:tcW w:type="dxa" w:w="3744"/>
            <w:shd w:val="clear" w:color="auto" w:fill="1F3B57"/>
          </w:tcPr>
          <w:p>
            <w:pPr>
              <w:spacing w:after="40" w:before="40" w:line="240" w:lineRule="auto"/>
            </w:pPr>
            <w:r>
              <w:rPr>
                <w:color w:val="FFFFFF"/>
              </w:rPr>
            </w:r>
            <w:r>
              <w:rPr>
                <w:b/>
                <w:i w:val="0"/>
                <w:color w:val="FFFFFF"/>
                <w:sz w:val="18"/>
              </w:rPr>
              <w:t>Activity under the presymptomatic protocol</w:t>
            </w:r>
          </w:p>
        </w:tc>
        <w:tc>
          <w:tcPr>
            <w:tcW w:type="dxa" w:w="1656"/>
            <w:shd w:val="clear" w:color="auto" w:fill="1F3B57"/>
          </w:tcPr>
          <w:p>
            <w:pPr>
              <w:spacing w:after="40" w:before="40" w:line="240" w:lineRule="auto"/>
            </w:pPr>
            <w:r>
              <w:rPr>
                <w:color w:val="FFFFFF"/>
              </w:rPr>
            </w:r>
            <w:r>
              <w:rPr>
                <w:b/>
                <w:i w:val="0"/>
                <w:color w:val="FFFFFF"/>
                <w:sz w:val="18"/>
              </w:rPr>
              <w:t>Disposition</w:t>
            </w:r>
          </w:p>
        </w:tc>
        <w:tc>
          <w:tcPr>
            <w:tcW w:type="dxa" w:w="4392"/>
            <w:shd w:val="clear" w:color="auto" w:fill="1F3B57"/>
          </w:tcPr>
          <w:p>
            <w:pPr>
              <w:spacing w:after="40" w:before="40" w:line="240" w:lineRule="auto"/>
            </w:pPr>
            <w:r>
              <w:rPr>
                <w:color w:val="FFFFFF"/>
              </w:rPr>
            </w:r>
            <w:r>
              <w:rPr>
                <w:b/>
                <w:i w:val="0"/>
                <w:color w:val="FFFFFF"/>
                <w:sz w:val="18"/>
              </w:rPr>
              <w:t>Basis</w:t>
            </w:r>
          </w:p>
        </w:tc>
      </w:tr>
      <w:tr>
        <w:tc>
          <w:tcPr>
            <w:tcW w:type="dxa" w:w="3744"/>
          </w:tcPr>
          <w:p>
            <w:pPr>
              <w:spacing w:after="40" w:before="40" w:line="240" w:lineRule="auto"/>
            </w:pPr>
            <w:r/>
            <w:r>
              <w:rPr>
                <w:b w:val="0"/>
                <w:i w:val="0"/>
                <w:sz w:val="18"/>
              </w:rPr>
              <w:t>Dosing any participant</w:t>
            </w:r>
          </w:p>
        </w:tc>
        <w:tc>
          <w:tcPr>
            <w:tcW w:type="dxa" w:w="1656"/>
          </w:tcPr>
          <w:p>
            <w:pPr>
              <w:spacing w:after="40" w:before="40" w:line="240" w:lineRule="auto"/>
            </w:pPr>
            <w:r/>
            <w:r>
              <w:rPr>
                <w:b w:val="0"/>
                <w:i w:val="0"/>
                <w:sz w:val="18"/>
              </w:rPr>
              <w:t>PROHIBITED</w:t>
            </w:r>
          </w:p>
        </w:tc>
        <w:tc>
          <w:tcPr>
            <w:tcW w:type="dxa" w:w="4392"/>
          </w:tcPr>
          <w:p>
            <w:pPr>
              <w:spacing w:after="40" w:before="40" w:line="240" w:lineRule="auto"/>
            </w:pPr>
            <w:r/>
            <w:r>
              <w:rPr>
                <w:b w:val="0"/>
                <w:i w:val="0"/>
                <w:sz w:val="18"/>
              </w:rPr>
              <w:t>FIXED BY LETTER (R-5, R-9).</w:t>
            </w:r>
          </w:p>
        </w:tc>
      </w:tr>
      <w:tr>
        <w:tc>
          <w:tcPr>
            <w:tcW w:type="dxa" w:w="3744"/>
            <w:shd w:val="clear" w:color="auto" w:fill="F2F5F8"/>
          </w:tcPr>
          <w:p>
            <w:pPr>
              <w:spacing w:after="40" w:before="40" w:line="240" w:lineRule="auto"/>
            </w:pPr>
            <w:r/>
            <w:r>
              <w:rPr>
                <w:b w:val="0"/>
                <w:i w:val="0"/>
                <w:sz w:val="18"/>
              </w:rPr>
              <w:t>Enrolling or consenting a participant under the held protocol</w:t>
            </w:r>
          </w:p>
        </w:tc>
        <w:tc>
          <w:tcPr>
            <w:tcW w:type="dxa" w:w="1656"/>
            <w:shd w:val="clear" w:color="auto" w:fill="F2F5F8"/>
          </w:tcPr>
          <w:p>
            <w:pPr>
              <w:spacing w:after="40" w:before="40" w:line="240" w:lineRule="auto"/>
            </w:pPr>
            <w:r/>
            <w:r>
              <w:rPr>
                <w:b w:val="0"/>
                <w:i w:val="0"/>
                <w:sz w:val="18"/>
              </w:rPr>
              <w:t>PROHIBITED</w:t>
            </w:r>
          </w:p>
        </w:tc>
        <w:tc>
          <w:tcPr>
            <w:tcW w:type="dxa" w:w="4392"/>
            <w:shd w:val="clear" w:color="auto" w:fill="F2F5F8"/>
          </w:tcPr>
          <w:p>
            <w:pPr>
              <w:spacing w:after="40" w:before="40" w:line="240" w:lineRule="auto"/>
            </w:pPr>
            <w:r/>
            <w:r>
              <w:rPr>
                <w:b w:val="0"/>
                <w:i w:val="0"/>
                <w:sz w:val="18"/>
              </w:rPr>
              <w:t>LETTER SILENT — SPONSOR DETERMINATION. Consent and enrolment are the initiation of a clinical investigation in a human subject; they may not be performed under a held protocol.</w:t>
            </w:r>
          </w:p>
        </w:tc>
      </w:tr>
      <w:tr>
        <w:tc>
          <w:tcPr>
            <w:tcW w:type="dxa" w:w="3744"/>
          </w:tcPr>
          <w:p>
            <w:pPr>
              <w:spacing w:after="40" w:before="40" w:line="240" w:lineRule="auto"/>
            </w:pPr>
            <w:r/>
            <w:r>
              <w:rPr>
                <w:b w:val="0"/>
                <w:i w:val="0"/>
                <w:sz w:val="18"/>
              </w:rPr>
              <w:t>Protocol-specified screening (including screening lumbar puncture, MRI, screening genotype confirmation performed for eligibility)</w:t>
            </w:r>
          </w:p>
        </w:tc>
        <w:tc>
          <w:tcPr>
            <w:tcW w:type="dxa" w:w="1656"/>
          </w:tcPr>
          <w:p>
            <w:pPr>
              <w:spacing w:after="40" w:before="40" w:line="240" w:lineRule="auto"/>
            </w:pPr>
            <w:r/>
            <w:r>
              <w:rPr>
                <w:b w:val="0"/>
                <w:i w:val="0"/>
                <w:sz w:val="18"/>
              </w:rPr>
              <w:t>PROHIBITED</w:t>
            </w:r>
          </w:p>
        </w:tc>
        <w:tc>
          <w:tcPr>
            <w:tcW w:type="dxa" w:w="4392"/>
          </w:tcPr>
          <w:p>
            <w:pPr>
              <w:spacing w:after="40" w:before="40" w:line="240" w:lineRule="auto"/>
            </w:pPr>
            <w:r/>
            <w:r>
              <w:rPr>
                <w:b w:val="0"/>
                <w:i w:val="0"/>
                <w:sz w:val="18"/>
              </w:rPr>
              <w:t>LETTER SILENT — SPONSOR DETERMINATION. Screening under the protocol is protocol conduct and requires consent; it is treated as initiation.</w:t>
            </w:r>
          </w:p>
        </w:tc>
      </w:tr>
      <w:tr>
        <w:tc>
          <w:tcPr>
            <w:tcW w:type="dxa" w:w="3744"/>
            <w:shd w:val="clear" w:color="auto" w:fill="F2F5F8"/>
          </w:tcPr>
          <w:p>
            <w:pPr>
              <w:spacing w:after="40" w:before="40" w:line="240" w:lineRule="auto"/>
            </w:pPr>
            <w:r/>
            <w:r>
              <w:rPr>
                <w:b w:val="0"/>
                <w:i w:val="0"/>
                <w:sz w:val="18"/>
              </w:rPr>
              <w:t>Pre-screen phone questionnaire / T-MoCA administered under the protocol’s SOA</w:t>
            </w:r>
          </w:p>
        </w:tc>
        <w:tc>
          <w:tcPr>
            <w:tcW w:type="dxa" w:w="1656"/>
            <w:shd w:val="clear" w:color="auto" w:fill="F2F5F8"/>
          </w:tcPr>
          <w:p>
            <w:pPr>
              <w:spacing w:after="40" w:before="40" w:line="240" w:lineRule="auto"/>
            </w:pPr>
            <w:r/>
            <w:r>
              <w:rPr>
                <w:b w:val="0"/>
                <w:i w:val="0"/>
                <w:sz w:val="18"/>
              </w:rPr>
              <w:t>PROHIBITED</w:t>
            </w:r>
          </w:p>
        </w:tc>
        <w:tc>
          <w:tcPr>
            <w:tcW w:type="dxa" w:w="4392"/>
            <w:shd w:val="clear" w:color="auto" w:fill="F2F5F8"/>
          </w:tcPr>
          <w:p>
            <w:pPr>
              <w:spacing w:after="40" w:before="40" w:line="240" w:lineRule="auto"/>
            </w:pPr>
            <w:r/>
            <w:r>
              <w:rPr>
                <w:b w:val="0"/>
                <w:i w:val="0"/>
                <w:sz w:val="18"/>
              </w:rPr>
              <w:t>LETTER SILENT — SPONSOR DETERMINATION. It is an SOA activity of the held protocol.</w:t>
            </w:r>
          </w:p>
        </w:tc>
      </w:tr>
      <w:tr>
        <w:tc>
          <w:tcPr>
            <w:tcW w:type="dxa" w:w="3744"/>
          </w:tcPr>
          <w:p>
            <w:pPr>
              <w:spacing w:after="40" w:before="40" w:line="240" w:lineRule="auto"/>
            </w:pPr>
            <w:r/>
            <w:r>
              <w:rPr>
                <w:b w:val="0"/>
                <w:i w:val="0"/>
                <w:sz w:val="18"/>
              </w:rPr>
              <w:t>Recruitment advertising or outreach that offers participation in the presymptomatic study</w:t>
            </w:r>
          </w:p>
        </w:tc>
        <w:tc>
          <w:tcPr>
            <w:tcW w:type="dxa" w:w="1656"/>
          </w:tcPr>
          <w:p>
            <w:pPr>
              <w:spacing w:after="40" w:before="40" w:line="240" w:lineRule="auto"/>
            </w:pPr>
            <w:r/>
            <w:r>
              <w:rPr>
                <w:b w:val="0"/>
                <w:i w:val="0"/>
                <w:sz w:val="18"/>
              </w:rPr>
              <w:t>PROHIBITED</w:t>
            </w:r>
          </w:p>
        </w:tc>
        <w:tc>
          <w:tcPr>
            <w:tcW w:type="dxa" w:w="4392"/>
          </w:tcPr>
          <w:p>
            <w:pPr>
              <w:spacing w:after="40" w:before="40" w:line="240" w:lineRule="auto"/>
            </w:pPr>
            <w:r/>
            <w:r>
              <w:rPr>
                <w:b w:val="0"/>
                <w:i w:val="0"/>
                <w:sz w:val="18"/>
              </w:rPr>
              <w:t>LETTER SILENT — SPONSOR DETERMINATION. Soliciting subjects for a study that may not be initiated is not separable from initiation.</w:t>
            </w:r>
          </w:p>
        </w:tc>
      </w:tr>
      <w:tr>
        <w:tc>
          <w:tcPr>
            <w:tcW w:type="dxa" w:w="3744"/>
            <w:shd w:val="clear" w:color="auto" w:fill="F2F5F8"/>
          </w:tcPr>
          <w:p>
            <w:pPr>
              <w:spacing w:after="40" w:before="40" w:line="240" w:lineRule="auto"/>
            </w:pPr>
            <w:r/>
            <w:r>
              <w:rPr>
                <w:b w:val="0"/>
                <w:i w:val="0"/>
                <w:sz w:val="18"/>
              </w:rPr>
              <w:t>IRB submission, IRB maintenance, and site contracting for the held protocol</w:t>
            </w:r>
          </w:p>
        </w:tc>
        <w:tc>
          <w:tcPr>
            <w:tcW w:type="dxa" w:w="1656"/>
            <w:shd w:val="clear" w:color="auto" w:fill="F2F5F8"/>
          </w:tcPr>
          <w:p>
            <w:pPr>
              <w:spacing w:after="40" w:before="40" w:line="240" w:lineRule="auto"/>
            </w:pPr>
            <w:r/>
            <w:r>
              <w:rPr>
                <w:b w:val="0"/>
                <w:i w:val="0"/>
                <w:sz w:val="18"/>
              </w:rPr>
              <w:t>PERMITTED</w:t>
            </w:r>
          </w:p>
        </w:tc>
        <w:tc>
          <w:tcPr>
            <w:tcW w:type="dxa" w:w="4392"/>
            <w:shd w:val="clear" w:color="auto" w:fill="F2F5F8"/>
          </w:tcPr>
          <w:p>
            <w:pPr>
              <w:spacing w:after="40" w:before="40" w:line="240" w:lineRule="auto"/>
            </w:pPr>
            <w:r/>
            <w:r>
              <w:rPr>
                <w:b w:val="0"/>
                <w:i w:val="0"/>
                <w:sz w:val="18"/>
              </w:rPr>
              <w:t>LETTER SILENT — SPONSOR DETERMINATION. Administrative readiness with no human-subject contact.</w:t>
            </w:r>
          </w:p>
        </w:tc>
      </w:tr>
      <w:tr>
        <w:tc>
          <w:tcPr>
            <w:tcW w:type="dxa" w:w="3744"/>
          </w:tcPr>
          <w:p>
            <w:pPr>
              <w:spacing w:after="40" w:before="40" w:line="240" w:lineRule="auto"/>
            </w:pPr>
            <w:r/>
            <w:r>
              <w:rPr>
                <w:b w:val="0"/>
                <w:i w:val="0"/>
                <w:sz w:val="18"/>
              </w:rPr>
              <w:t>Site feasibility questionnaires directed to institutions (not to candidate subjects)</w:t>
            </w:r>
          </w:p>
        </w:tc>
        <w:tc>
          <w:tcPr>
            <w:tcW w:type="dxa" w:w="1656"/>
          </w:tcPr>
          <w:p>
            <w:pPr>
              <w:spacing w:after="40" w:before="40" w:line="240" w:lineRule="auto"/>
            </w:pPr>
            <w:r/>
            <w:r>
              <w:rPr>
                <w:b w:val="0"/>
                <w:i w:val="0"/>
                <w:sz w:val="18"/>
              </w:rPr>
              <w:t>PERMITTED</w:t>
            </w:r>
          </w:p>
        </w:tc>
        <w:tc>
          <w:tcPr>
            <w:tcW w:type="dxa" w:w="4392"/>
          </w:tcPr>
          <w:p>
            <w:pPr>
              <w:spacing w:after="40" w:before="40" w:line="240" w:lineRule="auto"/>
            </w:pPr>
            <w:r/>
            <w:r>
              <w:rPr>
                <w:b w:val="0"/>
                <w:i w:val="0"/>
                <w:sz w:val="18"/>
              </w:rPr>
              <w:t>LETTER SILENT — SPONSOR DETERMINATION.</w:t>
            </w:r>
          </w:p>
        </w:tc>
      </w:tr>
      <w:tr>
        <w:tc>
          <w:tcPr>
            <w:tcW w:type="dxa" w:w="3744"/>
            <w:shd w:val="clear" w:color="auto" w:fill="F2F5F8"/>
          </w:tcPr>
          <w:p>
            <w:pPr>
              <w:spacing w:after="40" w:before="40" w:line="240" w:lineRule="auto"/>
            </w:pPr>
            <w:r/>
            <w:r>
              <w:rPr>
                <w:b w:val="0"/>
                <w:i w:val="0"/>
                <w:sz w:val="18"/>
              </w:rPr>
              <w:t>Pharmacy set-up, staff training, drug-handling qualification; no dosing</w:t>
            </w:r>
          </w:p>
        </w:tc>
        <w:tc>
          <w:tcPr>
            <w:tcW w:type="dxa" w:w="1656"/>
            <w:shd w:val="clear" w:color="auto" w:fill="F2F5F8"/>
          </w:tcPr>
          <w:p>
            <w:pPr>
              <w:spacing w:after="40" w:before="40" w:line="240" w:lineRule="auto"/>
            </w:pPr>
            <w:r/>
            <w:r>
              <w:rPr>
                <w:b w:val="0"/>
                <w:i w:val="0"/>
                <w:sz w:val="18"/>
              </w:rPr>
              <w:t>PERMITTED</w:t>
            </w:r>
          </w:p>
        </w:tc>
        <w:tc>
          <w:tcPr>
            <w:tcW w:type="dxa" w:w="4392"/>
            <w:shd w:val="clear" w:color="auto" w:fill="F2F5F8"/>
          </w:tcPr>
          <w:p>
            <w:pPr>
              <w:spacing w:after="40" w:before="40" w:line="240" w:lineRule="auto"/>
            </w:pPr>
            <w:r/>
            <w:r>
              <w:rPr>
                <w:b w:val="0"/>
                <w:i w:val="0"/>
                <w:sz w:val="18"/>
              </w:rPr>
              <w:t>LETTER SILENT — SPONSOR DETERMINATION.</w:t>
            </w:r>
          </w:p>
        </w:tc>
      </w:tr>
      <w:tr>
        <w:tc>
          <w:tcPr>
            <w:tcW w:type="dxa" w:w="3744"/>
          </w:tcPr>
          <w:p>
            <w:pPr>
              <w:spacing w:after="40" w:before="40" w:line="240" w:lineRule="auto"/>
            </w:pPr>
            <w:r/>
            <w:r>
              <w:rPr>
                <w:b w:val="0"/>
                <w:i w:val="0"/>
                <w:sz w:val="18"/>
              </w:rPr>
              <w:t>Maintaining the sponsor’s existing observational / natural-history cohort under its own separate approvals</w:t>
            </w:r>
          </w:p>
        </w:tc>
        <w:tc>
          <w:tcPr>
            <w:tcW w:type="dxa" w:w="1656"/>
          </w:tcPr>
          <w:p>
            <w:pPr>
              <w:spacing w:after="40" w:before="40" w:line="240" w:lineRule="auto"/>
            </w:pPr>
            <w:r/>
            <w:r>
              <w:rPr>
                <w:b w:val="0"/>
                <w:i w:val="0"/>
                <w:sz w:val="18"/>
              </w:rPr>
              <w:t>PERMITTED</w:t>
            </w:r>
          </w:p>
        </w:tc>
        <w:tc>
          <w:tcPr>
            <w:tcW w:type="dxa" w:w="4392"/>
          </w:tcPr>
          <w:p>
            <w:pPr>
              <w:spacing w:after="40" w:before="40" w:line="240" w:lineRule="auto"/>
            </w:pPr>
            <w:r/>
            <w:r>
              <w:rPr>
                <w:b w:val="0"/>
                <w:i w:val="0"/>
                <w:sz w:val="18"/>
              </w:rPr>
              <w:t>LETTER SILENT — SPONSOR DETERMINATION. Not conducted under IND 167326 and not to be converted into pre-screening for the held protocol.</w:t>
            </w:r>
          </w:p>
        </w:tc>
      </w:tr>
      <w:tr>
        <w:tc>
          <w:tcPr>
            <w:tcW w:type="dxa" w:w="3744"/>
            <w:shd w:val="clear" w:color="auto" w:fill="F2F5F8"/>
          </w:tcPr>
          <w:p>
            <w:pPr>
              <w:spacing w:after="40" w:before="40" w:line="240" w:lineRule="auto"/>
            </w:pPr>
            <w:r/>
            <w:r>
              <w:rPr>
                <w:b w:val="0"/>
                <w:i w:val="0"/>
                <w:sz w:val="18"/>
              </w:rPr>
              <w:t>Identifying, ranking or pre-screening named genotype-confirmed candidates for the held protocol, under any label</w:t>
            </w:r>
          </w:p>
        </w:tc>
        <w:tc>
          <w:tcPr>
            <w:tcW w:type="dxa" w:w="1656"/>
            <w:shd w:val="clear" w:color="auto" w:fill="F2F5F8"/>
          </w:tcPr>
          <w:p>
            <w:pPr>
              <w:spacing w:after="40" w:before="40" w:line="240" w:lineRule="auto"/>
            </w:pPr>
            <w:r/>
            <w:r>
              <w:rPr>
                <w:b w:val="0"/>
                <w:i w:val="0"/>
                <w:sz w:val="18"/>
              </w:rPr>
              <w:t>PROHIBITED</w:t>
            </w:r>
          </w:p>
        </w:tc>
        <w:tc>
          <w:tcPr>
            <w:tcW w:type="dxa" w:w="4392"/>
            <w:shd w:val="clear" w:color="auto" w:fill="F2F5F8"/>
          </w:tcPr>
          <w:p>
            <w:pPr>
              <w:spacing w:after="40" w:before="40" w:line="240" w:lineRule="auto"/>
            </w:pPr>
            <w:r/>
            <w:r>
              <w:rPr>
                <w:b w:val="0"/>
                <w:i w:val="0"/>
                <w:sz w:val="18"/>
              </w:rPr>
              <w:t>LETTER SILENT — SPONSOR DETERMINATION. This is the specific activity proposed in REGOPS-MEMO-2025-04-02 §2 and is rejected (Article 8, ruling A-4).</w:t>
            </w:r>
          </w:p>
        </w:tc>
      </w:tr>
    </w:tbl>
    <w:p>
      <w:pPr>
        <w:spacing w:after="40"/>
      </w:pPr>
    </w:p>
    <w:p>
      <w:pPr>
        <w:spacing w:after="100"/>
        <w:ind w:left="461" w:hanging="461"/>
      </w:pPr>
      <w:r>
        <w:rPr>
          <w:b/>
        </w:rPr>
        <w:t xml:space="preserve">3.1.1  </w:t>
      </w:r>
      <w:r>
        <w:t>Any activity not listed above and having contact with a candidate or enrolled human subject under the presymptomatic protocol is PROHIBITED until the resumption gate in Article 6 is satisfied. Additions to the permitted column require change control under Article 12.</w:t>
      </w:r>
    </w:p>
    <w:p>
      <w:pPr>
        <w:spacing w:after="100"/>
        <w:ind w:left="461" w:hanging="461"/>
      </w:pPr>
      <w:r>
        <w:rPr>
          <w:b/>
        </w:rPr>
        <w:t xml:space="preserve">3.1.2  </w:t>
      </w:r>
      <w:r>
        <w:t>Partition A activity is unaffected by the hold and shall not be slowed to accommodate Partition B. Sentinel dosing in the symptomatic study is on the critical path for the presymptomatic study by operation of the protocol’s own 42-day interlock, and is to be resourced accordingly.</w:t>
      </w:r>
    </w:p>
    <w:p>
      <w:pPr>
        <w:spacing w:after="100"/>
        <w:ind w:left="461" w:hanging="461"/>
      </w:pPr>
      <w:r>
        <w:rPr>
          <w:b/>
        </w:rPr>
        <w:t xml:space="preserve">3.1.3  </w:t>
      </w:r>
      <w:r>
        <w:t>No document, consent form, site communication or public-facing material may state or imply that the presymptomatic study is open, opening, or expected to open on a stated date, until the resumption notification in 6.1 is received and recorded.</w:t>
      </w:r>
    </w:p>
    <w:p>
      <w:r>
        <w:br w:type="page"/>
      </w:r>
    </w:p>
    <w:p>
      <w:pPr>
        <w:pStyle w:val="Heading1"/>
      </w:pPr>
      <w:r>
        <w:t>Article 4 — The deficiency and its sole cure</w:t>
      </w:r>
    </w:p>
    <w:p>
      <w:pPr>
        <w:pStyle w:val="Heading2"/>
      </w:pPr>
      <w:r>
        <w:t>4.1  The deficiency</w:t>
      </w:r>
    </w:p>
    <w:p>
      <w:r>
        <w:rPr>
          <w:b w:val="0"/>
          <w:i w:val="0"/>
        </w:rPr>
        <w:t>One deficiency is cited, under 21 CFR 312.42(b)(1)(iv): insufficient information to assess risks to human subjects. Its stated content is that the nonclinical package does not support dosing healthy at-risk individuals, because (a) the toxicology species — rat and dog — are not pharmacologically responsive to 2439-exNA, so on-target consequences of PrP lowering were never tested; (b) cynomolgus monkey is pharmacologically responsive; and (c) reduction of prion protein raises a neurobehavioural-function concern (Wulf et al. 2017).</w:t>
      </w:r>
    </w:p>
    <w:p>
      <w:pPr>
        <w:spacing w:after="100"/>
        <w:ind w:left="461" w:hanging="461"/>
      </w:pPr>
      <w:r>
        <w:rPr>
          <w:b/>
        </w:rPr>
        <w:t xml:space="preserve">4.1.1  </w:t>
      </w:r>
      <w:r>
        <w:t>The deficiency is about on-target pharmacology in a responsive species, not about intrathecal delivery tolerability. Any response constructed as additional delivery-tolerability data in a non-responsive species does not address it.</w:t>
      </w:r>
      <w:r>
        <w:t xml:space="preserve"> </w:t>
      </w:r>
      <w:r>
        <w:rPr>
          <w:i/>
        </w:rPr>
        <w:t>[FIXED BY LETTER — R-7.]</w:t>
      </w:r>
    </w:p>
    <w:p>
      <w:pPr>
        <w:pStyle w:val="Heading2"/>
      </w:pPr>
      <w:r>
        <w:t>4.2  The required study — what the letter fixes</w:t>
      </w:r>
    </w:p>
    <w:tbl>
      <w:tblPr>
        <w:tblStyle w:val="TableGrid"/>
        <w:tblW w:type="auto" w:w="0"/>
        <w:jc w:val="center"/>
        <w:tblLook w:firstColumn="1" w:firstRow="1" w:lastColumn="0" w:lastRow="0" w:noHBand="0" w:noVBand="1" w:val="04A0"/>
      </w:tblPr>
      <w:tblGrid>
        <w:gridCol w:w="3216"/>
        <w:gridCol w:w="3216"/>
        <w:gridCol w:w="3216"/>
      </w:tblGrid>
      <w:tr>
        <w:trPr>
          <w:tblHeader/>
        </w:trPr>
        <w:tc>
          <w:tcPr>
            <w:tcW w:type="dxa" w:w="2232"/>
            <w:shd w:val="clear" w:color="auto" w:fill="1F3B57"/>
          </w:tcPr>
          <w:p>
            <w:pPr>
              <w:spacing w:after="40" w:before="40" w:line="240" w:lineRule="auto"/>
            </w:pPr>
            <w:r>
              <w:rPr>
                <w:color w:val="FFFFFF"/>
              </w:rPr>
            </w:r>
            <w:r>
              <w:rPr>
                <w:b/>
                <w:i w:val="0"/>
                <w:color w:val="FFFFFF"/>
                <w:sz w:val="18"/>
              </w:rPr>
              <w:t>Element</w:t>
            </w:r>
          </w:p>
        </w:tc>
        <w:tc>
          <w:tcPr>
            <w:tcW w:type="dxa" w:w="5112"/>
            <w:shd w:val="clear" w:color="auto" w:fill="1F3B57"/>
          </w:tcPr>
          <w:p>
            <w:pPr>
              <w:spacing w:after="40" w:before="40" w:line="240" w:lineRule="auto"/>
            </w:pPr>
            <w:r>
              <w:rPr>
                <w:color w:val="FFFFFF"/>
              </w:rPr>
            </w:r>
            <w:r>
              <w:rPr>
                <w:b/>
                <w:i w:val="0"/>
                <w:color w:val="FFFFFF"/>
                <w:sz w:val="18"/>
              </w:rPr>
              <w:t>Requirement</w:t>
            </w:r>
          </w:p>
        </w:tc>
        <w:tc>
          <w:tcPr>
            <w:tcW w:type="dxa" w:w="2448"/>
            <w:shd w:val="clear" w:color="auto" w:fill="1F3B57"/>
          </w:tcPr>
          <w:p>
            <w:pPr>
              <w:spacing w:after="40" w:before="40" w:line="240" w:lineRule="auto"/>
            </w:pPr>
            <w:r>
              <w:rPr>
                <w:color w:val="FFFFFF"/>
              </w:rPr>
            </w:r>
            <w:r>
              <w:rPr>
                <w:b/>
                <w:i w:val="0"/>
                <w:color w:val="FFFFFF"/>
                <w:sz w:val="18"/>
              </w:rPr>
              <w:t>Status</w:t>
            </w:r>
          </w:p>
        </w:tc>
      </w:tr>
      <w:tr>
        <w:tc>
          <w:tcPr>
            <w:tcW w:type="dxa" w:w="2232"/>
          </w:tcPr>
          <w:p>
            <w:pPr>
              <w:spacing w:after="40" w:before="40" w:line="240" w:lineRule="auto"/>
            </w:pPr>
            <w:r/>
            <w:r>
              <w:rPr>
                <w:b w:val="0"/>
                <w:i w:val="0"/>
                <w:sz w:val="18"/>
              </w:rPr>
              <w:t>GLP status</w:t>
            </w:r>
          </w:p>
        </w:tc>
        <w:tc>
          <w:tcPr>
            <w:tcW w:type="dxa" w:w="5112"/>
          </w:tcPr>
          <w:p>
            <w:pPr>
              <w:spacing w:after="40" w:before="40" w:line="240" w:lineRule="auto"/>
            </w:pPr>
            <w:r/>
            <w:r>
              <w:rPr>
                <w:b w:val="0"/>
                <w:i w:val="0"/>
                <w:sz w:val="18"/>
              </w:rPr>
              <w:t>GLP-compliant.</w:t>
            </w:r>
          </w:p>
        </w:tc>
        <w:tc>
          <w:tcPr>
            <w:tcW w:type="dxa" w:w="2448"/>
          </w:tcPr>
          <w:p>
            <w:pPr>
              <w:spacing w:after="40" w:before="40" w:line="240" w:lineRule="auto"/>
            </w:pPr>
            <w:r/>
            <w:r>
              <w:rPr>
                <w:b w:val="0"/>
                <w:i w:val="0"/>
                <w:sz w:val="18"/>
              </w:rPr>
              <w:t>FIXED BY LETTER</w:t>
            </w:r>
          </w:p>
        </w:tc>
      </w:tr>
      <w:tr>
        <w:tc>
          <w:tcPr>
            <w:tcW w:type="dxa" w:w="2232"/>
            <w:shd w:val="clear" w:color="auto" w:fill="F2F5F8"/>
          </w:tcPr>
          <w:p>
            <w:pPr>
              <w:spacing w:after="40" w:before="40" w:line="240" w:lineRule="auto"/>
            </w:pPr>
            <w:r/>
            <w:r>
              <w:rPr>
                <w:b w:val="0"/>
                <w:i w:val="0"/>
                <w:sz w:val="18"/>
              </w:rPr>
              <w:t>Species</w:t>
            </w:r>
          </w:p>
        </w:tc>
        <w:tc>
          <w:tcPr>
            <w:tcW w:type="dxa" w:w="5112"/>
            <w:shd w:val="clear" w:color="auto" w:fill="F2F5F8"/>
          </w:tcPr>
          <w:p>
            <w:pPr>
              <w:spacing w:after="40" w:before="40" w:line="240" w:lineRule="auto"/>
            </w:pPr>
            <w:r/>
            <w:r>
              <w:rPr>
                <w:b w:val="0"/>
                <w:i w:val="0"/>
                <w:sz w:val="18"/>
              </w:rPr>
              <w:t>Cynomolgus monkey. No substitute species is authorised.</w:t>
            </w:r>
          </w:p>
        </w:tc>
        <w:tc>
          <w:tcPr>
            <w:tcW w:type="dxa" w:w="2448"/>
            <w:shd w:val="clear" w:color="auto" w:fill="F2F5F8"/>
          </w:tcPr>
          <w:p>
            <w:pPr>
              <w:spacing w:after="40" w:before="40" w:line="240" w:lineRule="auto"/>
            </w:pPr>
            <w:r/>
            <w:r>
              <w:rPr>
                <w:b w:val="0"/>
                <w:i w:val="0"/>
                <w:sz w:val="18"/>
              </w:rPr>
              <w:t>FIXED BY LETTER</w:t>
            </w:r>
          </w:p>
        </w:tc>
      </w:tr>
      <w:tr>
        <w:tc>
          <w:tcPr>
            <w:tcW w:type="dxa" w:w="2232"/>
          </w:tcPr>
          <w:p>
            <w:pPr>
              <w:spacing w:after="40" w:before="40" w:line="240" w:lineRule="auto"/>
            </w:pPr>
            <w:r/>
            <w:r>
              <w:rPr>
                <w:b w:val="0"/>
                <w:i w:val="0"/>
                <w:sz w:val="18"/>
              </w:rPr>
              <w:t>Route</w:t>
            </w:r>
          </w:p>
        </w:tc>
        <w:tc>
          <w:tcPr>
            <w:tcW w:type="dxa" w:w="5112"/>
          </w:tcPr>
          <w:p>
            <w:pPr>
              <w:spacing w:after="40" w:before="40" w:line="240" w:lineRule="auto"/>
            </w:pPr>
            <w:r/>
            <w:r>
              <w:rPr>
                <w:b w:val="0"/>
                <w:i w:val="0"/>
                <w:sz w:val="18"/>
              </w:rPr>
              <w:t>Intrathecal.</w:t>
            </w:r>
          </w:p>
        </w:tc>
        <w:tc>
          <w:tcPr>
            <w:tcW w:type="dxa" w:w="2448"/>
          </w:tcPr>
          <w:p>
            <w:pPr>
              <w:spacing w:after="40" w:before="40" w:line="240" w:lineRule="auto"/>
            </w:pPr>
            <w:r/>
            <w:r>
              <w:rPr>
                <w:b w:val="0"/>
                <w:i w:val="0"/>
                <w:sz w:val="18"/>
              </w:rPr>
              <w:t>FIXED BY LETTER</w:t>
            </w:r>
          </w:p>
        </w:tc>
      </w:tr>
      <w:tr>
        <w:tc>
          <w:tcPr>
            <w:tcW w:type="dxa" w:w="2232"/>
            <w:shd w:val="clear" w:color="auto" w:fill="F2F5F8"/>
          </w:tcPr>
          <w:p>
            <w:pPr>
              <w:spacing w:after="40" w:before="40" w:line="240" w:lineRule="auto"/>
            </w:pPr>
            <w:r/>
            <w:r>
              <w:rPr>
                <w:b w:val="0"/>
                <w:i w:val="0"/>
                <w:sz w:val="18"/>
              </w:rPr>
              <w:t>Type</w:t>
            </w:r>
          </w:p>
        </w:tc>
        <w:tc>
          <w:tcPr>
            <w:tcW w:type="dxa" w:w="5112"/>
            <w:shd w:val="clear" w:color="auto" w:fill="F2F5F8"/>
          </w:tcPr>
          <w:p>
            <w:pPr>
              <w:spacing w:after="40" w:before="40" w:line="240" w:lineRule="auto"/>
            </w:pPr>
            <w:r/>
            <w:r>
              <w:rPr>
                <w:b w:val="0"/>
                <w:i w:val="0"/>
                <w:sz w:val="18"/>
              </w:rPr>
              <w:t>Toxicity study.</w:t>
            </w:r>
          </w:p>
        </w:tc>
        <w:tc>
          <w:tcPr>
            <w:tcW w:type="dxa" w:w="2448"/>
            <w:shd w:val="clear" w:color="auto" w:fill="F2F5F8"/>
          </w:tcPr>
          <w:p>
            <w:pPr>
              <w:spacing w:after="40" w:before="40" w:line="240" w:lineRule="auto"/>
            </w:pPr>
            <w:r/>
            <w:r>
              <w:rPr>
                <w:b w:val="0"/>
                <w:i w:val="0"/>
                <w:sz w:val="18"/>
              </w:rPr>
              <w:t>FIXED BY LETTER</w:t>
            </w:r>
          </w:p>
        </w:tc>
      </w:tr>
      <w:tr>
        <w:tc>
          <w:tcPr>
            <w:tcW w:type="dxa" w:w="2232"/>
          </w:tcPr>
          <w:p>
            <w:pPr>
              <w:spacing w:after="40" w:before="40" w:line="240" w:lineRule="auto"/>
            </w:pPr>
            <w:r/>
            <w:r>
              <w:rPr>
                <w:b w:val="0"/>
                <w:i w:val="0"/>
                <w:sz w:val="18"/>
              </w:rPr>
              <w:t>Duration</w:t>
            </w:r>
          </w:p>
        </w:tc>
        <w:tc>
          <w:tcPr>
            <w:tcW w:type="dxa" w:w="5112"/>
          </w:tcPr>
          <w:p>
            <w:pPr>
              <w:spacing w:after="40" w:before="40" w:line="240" w:lineRule="auto"/>
            </w:pPr>
            <w:r/>
            <w:r>
              <w:rPr>
                <w:b w:val="0"/>
                <w:i w:val="0"/>
                <w:sz w:val="18"/>
              </w:rPr>
              <w:t>“Of a duration similar to or greater than that proposed for humans.”</w:t>
            </w:r>
          </w:p>
        </w:tc>
        <w:tc>
          <w:tcPr>
            <w:tcW w:type="dxa" w:w="2448"/>
          </w:tcPr>
          <w:p>
            <w:pPr>
              <w:spacing w:after="40" w:before="40" w:line="240" w:lineRule="auto"/>
            </w:pPr>
            <w:r/>
            <w:r>
              <w:rPr>
                <w:b w:val="0"/>
                <w:i w:val="0"/>
                <w:sz w:val="18"/>
              </w:rPr>
              <w:t>FIXED BY LETTER (numeric value not stated — see 4.3)</w:t>
            </w:r>
          </w:p>
        </w:tc>
      </w:tr>
      <w:tr>
        <w:tc>
          <w:tcPr>
            <w:tcW w:type="dxa" w:w="2232"/>
            <w:shd w:val="clear" w:color="auto" w:fill="F2F5F8"/>
          </w:tcPr>
          <w:p>
            <w:pPr>
              <w:spacing w:after="40" w:before="40" w:line="240" w:lineRule="auto"/>
            </w:pPr>
            <w:r/>
            <w:r>
              <w:rPr>
                <w:b w:val="0"/>
                <w:i w:val="0"/>
                <w:sz w:val="18"/>
              </w:rPr>
              <w:t>Purpose the study must serve</w:t>
            </w:r>
          </w:p>
        </w:tc>
        <w:tc>
          <w:tcPr>
            <w:tcW w:type="dxa" w:w="5112"/>
            <w:shd w:val="clear" w:color="auto" w:fill="F2F5F8"/>
          </w:tcPr>
          <w:p>
            <w:pPr>
              <w:spacing w:after="40" w:before="40" w:line="240" w:lineRule="auto"/>
            </w:pPr>
            <w:r/>
            <w:r>
              <w:rPr>
                <w:b w:val="0"/>
                <w:i w:val="0"/>
                <w:sz w:val="18"/>
              </w:rPr>
              <w:t>To support initiation of the proposed study in presymptomatic patients.</w:t>
            </w:r>
          </w:p>
        </w:tc>
        <w:tc>
          <w:tcPr>
            <w:tcW w:type="dxa" w:w="2448"/>
            <w:shd w:val="clear" w:color="auto" w:fill="F2F5F8"/>
          </w:tcPr>
          <w:p>
            <w:pPr>
              <w:spacing w:after="40" w:before="40" w:line="240" w:lineRule="auto"/>
            </w:pPr>
            <w:r/>
            <w:r>
              <w:rPr>
                <w:b w:val="0"/>
                <w:i w:val="0"/>
                <w:sz w:val="18"/>
              </w:rPr>
              <w:t>FIXED BY LETTER</w:t>
            </w:r>
          </w:p>
        </w:tc>
      </w:tr>
      <w:tr>
        <w:tc>
          <w:tcPr>
            <w:tcW w:type="dxa" w:w="2232"/>
          </w:tcPr>
          <w:p>
            <w:pPr>
              <w:spacing w:after="40" w:before="40" w:line="240" w:lineRule="auto"/>
            </w:pPr>
            <w:r/>
            <w:r>
              <w:rPr>
                <w:b w:val="0"/>
                <w:i w:val="0"/>
                <w:sz w:val="18"/>
              </w:rPr>
              <w:t>Number of studies</w:t>
            </w:r>
          </w:p>
        </w:tc>
        <w:tc>
          <w:tcPr>
            <w:tcW w:type="dxa" w:w="5112"/>
          </w:tcPr>
          <w:p>
            <w:pPr>
              <w:spacing w:after="40" w:before="40" w:line="240" w:lineRule="auto"/>
            </w:pPr>
            <w:r/>
            <w:r>
              <w:rPr>
                <w:b w:val="0"/>
                <w:i w:val="0"/>
                <w:sz w:val="18"/>
              </w:rPr>
              <w:t>One study is named.</w:t>
            </w:r>
          </w:p>
        </w:tc>
        <w:tc>
          <w:tcPr>
            <w:tcW w:type="dxa" w:w="2448"/>
          </w:tcPr>
          <w:p>
            <w:pPr>
              <w:spacing w:after="40" w:before="40" w:line="240" w:lineRule="auto"/>
            </w:pPr>
            <w:r/>
            <w:r>
              <w:rPr>
                <w:b w:val="0"/>
                <w:i w:val="0"/>
                <w:sz w:val="18"/>
              </w:rPr>
              <w:t>FIXED BY LETTER</w:t>
            </w:r>
          </w:p>
        </w:tc>
      </w:tr>
      <w:tr>
        <w:tc>
          <w:tcPr>
            <w:tcW w:type="dxa" w:w="2232"/>
            <w:shd w:val="clear" w:color="auto" w:fill="F2F5F8"/>
          </w:tcPr>
          <w:p>
            <w:pPr>
              <w:spacing w:after="40" w:before="40" w:line="240" w:lineRule="auto"/>
            </w:pPr>
            <w:r/>
            <w:r>
              <w:rPr>
                <w:b w:val="0"/>
                <w:i w:val="0"/>
                <w:sz w:val="18"/>
              </w:rPr>
              <w:t>Single-dose vs repeat-dose</w:t>
            </w:r>
          </w:p>
        </w:tc>
        <w:tc>
          <w:tcPr>
            <w:tcW w:type="dxa" w:w="5112"/>
            <w:shd w:val="clear" w:color="auto" w:fill="F2F5F8"/>
          </w:tcPr>
          <w:p>
            <w:pPr>
              <w:spacing w:after="40" w:before="40" w:line="240" w:lineRule="auto"/>
            </w:pPr>
            <w:r/>
            <w:r>
              <w:rPr>
                <w:b w:val="0"/>
                <w:i w:val="0"/>
                <w:sz w:val="18"/>
              </w:rPr>
              <w:t>Not specified.</w:t>
            </w:r>
          </w:p>
        </w:tc>
        <w:tc>
          <w:tcPr>
            <w:tcW w:type="dxa" w:w="2448"/>
            <w:shd w:val="clear" w:color="auto" w:fill="F2F5F8"/>
          </w:tcPr>
          <w:p>
            <w:pPr>
              <w:spacing w:after="40" w:before="40" w:line="240" w:lineRule="auto"/>
            </w:pPr>
            <w:r/>
            <w:r>
              <w:rPr>
                <w:b w:val="0"/>
                <w:i w:val="0"/>
                <w:sz w:val="18"/>
              </w:rPr>
              <w:t>LETTER SILENT — see 4.3.2</w:t>
            </w:r>
          </w:p>
        </w:tc>
      </w:tr>
      <w:tr>
        <w:tc>
          <w:tcPr>
            <w:tcW w:type="dxa" w:w="2232"/>
          </w:tcPr>
          <w:p>
            <w:pPr>
              <w:spacing w:after="40" w:before="40" w:line="240" w:lineRule="auto"/>
            </w:pPr>
            <w:r/>
            <w:r>
              <w:rPr>
                <w:b w:val="0"/>
                <w:i w:val="0"/>
                <w:sz w:val="18"/>
              </w:rPr>
              <w:t>Dose levels, group size, sex distribution, recovery period</w:t>
            </w:r>
          </w:p>
        </w:tc>
        <w:tc>
          <w:tcPr>
            <w:tcW w:type="dxa" w:w="5112"/>
          </w:tcPr>
          <w:p>
            <w:pPr>
              <w:spacing w:after="40" w:before="40" w:line="240" w:lineRule="auto"/>
            </w:pPr>
            <w:r/>
            <w:r>
              <w:rPr>
                <w:b w:val="0"/>
                <w:i w:val="0"/>
                <w:sz w:val="18"/>
              </w:rPr>
              <w:t>Not specified.</w:t>
            </w:r>
          </w:p>
        </w:tc>
        <w:tc>
          <w:tcPr>
            <w:tcW w:type="dxa" w:w="2448"/>
          </w:tcPr>
          <w:p>
            <w:pPr>
              <w:spacing w:after="40" w:before="40" w:line="240" w:lineRule="auto"/>
            </w:pPr>
            <w:r/>
            <w:r>
              <w:rPr>
                <w:b w:val="0"/>
                <w:i w:val="0"/>
                <w:sz w:val="18"/>
              </w:rPr>
              <w:t>LETTER SILENT — SPONSOR DETERMINATION</w:t>
            </w:r>
          </w:p>
        </w:tc>
      </w:tr>
      <w:tr>
        <w:tc>
          <w:tcPr>
            <w:tcW w:type="dxa" w:w="2232"/>
            <w:shd w:val="clear" w:color="auto" w:fill="F2F5F8"/>
          </w:tcPr>
          <w:p>
            <w:pPr>
              <w:spacing w:after="40" w:before="40" w:line="240" w:lineRule="auto"/>
            </w:pPr>
            <w:r/>
            <w:r>
              <w:rPr>
                <w:b w:val="0"/>
                <w:i w:val="0"/>
                <w:sz w:val="18"/>
              </w:rPr>
              <w:t>Endpoints</w:t>
            </w:r>
          </w:p>
        </w:tc>
        <w:tc>
          <w:tcPr>
            <w:tcW w:type="dxa" w:w="5112"/>
            <w:shd w:val="clear" w:color="auto" w:fill="F2F5F8"/>
          </w:tcPr>
          <w:p>
            <w:pPr>
              <w:spacing w:after="40" w:before="40" w:line="240" w:lineRule="auto"/>
            </w:pPr>
            <w:r/>
            <w:r>
              <w:rPr>
                <w:b w:val="0"/>
                <w:i w:val="0"/>
                <w:sz w:val="18"/>
              </w:rPr>
              <w:t>Not specified. The letter’s stated concern is neurobehavioural function and unassessed on-target effects.</w:t>
            </w:r>
          </w:p>
        </w:tc>
        <w:tc>
          <w:tcPr>
            <w:tcW w:type="dxa" w:w="2448"/>
            <w:shd w:val="clear" w:color="auto" w:fill="F2F5F8"/>
          </w:tcPr>
          <w:p>
            <w:pPr>
              <w:spacing w:after="40" w:before="40" w:line="240" w:lineRule="auto"/>
            </w:pPr>
            <w:r/>
            <w:r>
              <w:rPr>
                <w:b w:val="0"/>
                <w:i w:val="0"/>
                <w:sz w:val="18"/>
              </w:rPr>
              <w:t>LETTER SILENT — see 4.4.2</w:t>
            </w:r>
          </w:p>
        </w:tc>
      </w:tr>
      <w:tr>
        <w:tc>
          <w:tcPr>
            <w:tcW w:type="dxa" w:w="2232"/>
          </w:tcPr>
          <w:p>
            <w:pPr>
              <w:spacing w:after="40" w:before="40" w:line="240" w:lineRule="auto"/>
            </w:pPr>
            <w:r/>
            <w:r>
              <w:rPr>
                <w:b w:val="0"/>
                <w:i w:val="0"/>
                <w:sz w:val="18"/>
              </w:rPr>
              <w:t>Whether a study protocol must be pre-submitted</w:t>
            </w:r>
          </w:p>
        </w:tc>
        <w:tc>
          <w:tcPr>
            <w:tcW w:type="dxa" w:w="5112"/>
          </w:tcPr>
          <w:p>
            <w:pPr>
              <w:spacing w:after="40" w:before="40" w:line="240" w:lineRule="auto"/>
            </w:pPr>
            <w:r/>
            <w:r>
              <w:rPr>
                <w:b w:val="0"/>
                <w:i w:val="0"/>
                <w:sz w:val="18"/>
              </w:rPr>
              <w:t>Not required by the letter for the hold study.</w:t>
            </w:r>
          </w:p>
        </w:tc>
        <w:tc>
          <w:tcPr>
            <w:tcW w:type="dxa" w:w="2448"/>
          </w:tcPr>
          <w:p>
            <w:pPr>
              <w:spacing w:after="40" w:before="40" w:line="240" w:lineRule="auto"/>
            </w:pPr>
            <w:r/>
            <w:r>
              <w:rPr>
                <w:b w:val="0"/>
                <w:i w:val="0"/>
                <w:sz w:val="18"/>
              </w:rPr>
              <w:t>LETTER SILENT — sponsor elects to pre-submit (SR-4)</w:t>
            </w:r>
          </w:p>
        </w:tc>
      </w:tr>
    </w:tbl>
    <w:p>
      <w:pPr>
        <w:spacing w:after="40"/>
      </w:pPr>
    </w:p>
    <w:p>
      <w:pPr>
        <w:pStyle w:val="Heading2"/>
      </w:pPr>
      <w:r>
        <w:t>4.3  Duration provision</w:t>
      </w:r>
    </w:p>
    <w:p>
      <w:r>
        <w:rPr>
          <w:b w:val="0"/>
          <w:i w:val="0"/>
        </w:rPr>
        <w:t>“Duration similar to or greater than that proposed for humans” is the one requirement in the letter that a design can silently fail. The human proposal is a single intrathecal dose with an end-of-study visit at Day 168 ± 3 (24 weeks) in both protocols; the presymptomatic protocol’s SOA runs Day −7, Day 0–1, Day 28, Day 56, Day 84, Day 168. Two readings of “duration” are available: the dosing period (a single dose) or the study/observation period (168 days). Only the second reading gives the sentence work to do, and only the second reading is safe if the Division intended it.</w:t>
      </w:r>
    </w:p>
    <w:p>
      <w:pPr>
        <w:spacing w:after="100"/>
        <w:ind w:left="461" w:hanging="461"/>
      </w:pPr>
      <w:r>
        <w:rPr>
          <w:b/>
        </w:rPr>
        <w:t xml:space="preserve">4.3.1  </w:t>
      </w:r>
      <w:r>
        <w:t>The GLP cynomolgus study shall have a total in-life period, from first dose to terminal sacrifice, of not less than 168 days. No design with an in-life period shorter than 168 days may be submitted as the cure for this deficiency.</w:t>
      </w:r>
      <w:r>
        <w:t xml:space="preserve"> </w:t>
      </w:r>
      <w:r>
        <w:rPr>
          <w:i/>
        </w:rPr>
        <w:t>[LETTER SILENT — SPONSOR DETERMINATION, conservative construction of a FIXED requirement.]</w:t>
      </w:r>
    </w:p>
    <w:p>
      <w:pPr>
        <w:spacing w:after="100"/>
        <w:ind w:left="461" w:hanging="461"/>
      </w:pPr>
      <w:r>
        <w:rPr>
          <w:b/>
        </w:rPr>
        <w:t xml:space="preserve">4.3.2  </w:t>
      </w:r>
      <w:r>
        <w:t>Because the clinical regimen of record is a single dose, a single intrathecal dose with a ≥168-day observation period satisfies the letter as written. A repeat-dose design also satisfies it and is not prohibited; a repeat-dose design shortened below 168 days in-life does not.</w:t>
      </w:r>
    </w:p>
    <w:p>
      <w:pPr>
        <w:spacing w:after="100"/>
        <w:ind w:left="461" w:hanging="461"/>
      </w:pPr>
      <w:r>
        <w:rPr>
          <w:b/>
        </w:rPr>
        <w:t xml:space="preserve">4.3.3  </w:t>
      </w:r>
      <w:r>
        <w:t>The 6-week duration recorded in REGOPS-DRAFT-2025-04-09 §2 and the 8-week duration discussed in NONCLIN-MINUTES-2025-04-08 Option A are both non-compliant with 4.3.1 and are void. The draft’s premise that duration should track “the proposed clinical dosing schedule” is also wrong: the clinical dosing schedule is a single dose, and the letter’s comparator is what is proposed for humans as a whole.</w:t>
      </w:r>
    </w:p>
    <w:p>
      <w:pPr>
        <w:spacing w:after="100"/>
        <w:ind w:left="461" w:hanging="461"/>
      </w:pPr>
      <w:r>
        <w:rPr>
          <w:b/>
        </w:rPr>
        <w:t xml:space="preserve">4.3.4  </w:t>
      </w:r>
      <w:r>
        <w:t>The duration ambiguity shall be put to the Division in SR-4 in terms that state the sponsor’s 168-day construction and invite correction. If the Division states a different duration in writing, that statement supersedes 4.3.1 without further change control.</w:t>
      </w:r>
      <w:r>
        <w:t xml:space="preserve"> </w:t>
      </w:r>
      <w:r>
        <w:rPr>
          <w:i/>
        </w:rPr>
        <w:t>[LETTER SILENT — UNRESOLVED until answered.]</w:t>
      </w:r>
    </w:p>
    <w:p>
      <w:pPr>
        <w:pStyle w:val="Heading2"/>
      </w:pPr>
      <w:r>
        <w:t>4.4  What does not cure the deficiency</w:t>
      </w:r>
    </w:p>
    <w:p>
      <w:pPr>
        <w:spacing w:after="100"/>
        <w:ind w:left="461" w:hanging="461"/>
      </w:pPr>
      <w:r>
        <w:rPr>
          <w:b/>
        </w:rPr>
        <w:t xml:space="preserve">4.4.1  </w:t>
      </w:r>
      <w:r>
        <w:t>A scientific rebuttal offered in place of the study. The letter does not present the cynomolgus study as one option among several; it states that the sponsor “will need to conduct” it. A complete response whose substance is an argument that the study is unnecessary does not contain the required information and invites a finding that the response is incomplete, which by the letter’s terms does not start the review clock.</w:t>
      </w:r>
      <w:r>
        <w:t xml:space="preserve"> </w:t>
      </w:r>
      <w:r>
        <w:rPr>
          <w:i/>
        </w:rPr>
        <w:t>[FIXED BY LETTER — R-8, R-10.]</w:t>
      </w:r>
    </w:p>
    <w:p>
      <w:pPr>
        <w:spacing w:after="100"/>
        <w:ind w:left="461" w:hanging="461"/>
      </w:pPr>
      <w:r>
        <w:rPr>
          <w:b/>
        </w:rPr>
        <w:t xml:space="preserve">4.4.2  </w:t>
      </w:r>
      <w:r>
        <w:t>A study in dog or rat, of any duration or design. The letter identifies the absence of a pharmacologically responsive species as the defect; dog and rat are the species it names as non-responsive. Option A of NONCLIN-MINUTES-2025-04-08 is therefore rejected as a hold cure (Article 8, ruling A-5).</w:t>
      </w:r>
      <w:r>
        <w:t xml:space="preserve"> </w:t>
      </w:r>
      <w:r>
        <w:rPr>
          <w:i/>
        </w:rPr>
        <w:t>[FIXED BY LETTER — R-7, R-8.]</w:t>
      </w:r>
    </w:p>
    <w:p>
      <w:pPr>
        <w:spacing w:after="100"/>
        <w:ind w:left="461" w:hanging="461"/>
      </w:pPr>
      <w:r>
        <w:rPr>
          <w:b/>
        </w:rPr>
        <w:t xml:space="preserve">4.4.3  </w:t>
      </w:r>
      <w:r>
        <w:t>Transgenic humanised-mouse on-target lowering data (including the Tg25109 / Tg26372 mapping and efficacy package). These data are already on file, were before the Division when the hold issued, and the letter nonetheless states that the nonclinical data are not adequate. They may be cross-referenced in the complete response as supporting context; they may not be offered as the cure.</w:t>
      </w:r>
    </w:p>
    <w:p>
      <w:pPr>
        <w:spacing w:after="100"/>
        <w:ind w:left="461" w:hanging="461"/>
      </w:pPr>
      <w:r>
        <w:rPr>
          <w:b/>
        </w:rPr>
        <w:t xml:space="preserve">4.4.4  </w:t>
      </w:r>
      <w:r>
        <w:t>The existing GLP single intrathecal dose studies — A-703-01 (Sprague Dawley rat, 28-day recovery, GLP) and A-703-02 (dog, 28-day recovery, GLP) — and the non-GLP dog maximum tolerated dose study A-703-03. These are the studies the letter judged adequate for the symptomatic protocol and inadequate for the presymptomatic protocol. Note for drafters: REGOPS-DRAFT-2025-04-09 §2 reverses the species of A-703-01 and A-703-02 and describes them as “the pivotal safety basis”; both errors are corrected here (Article 8, ruling A-7).</w:t>
      </w:r>
    </w:p>
    <w:p>
      <w:pPr>
        <w:spacing w:after="100"/>
        <w:ind w:left="461" w:hanging="461"/>
      </w:pPr>
      <w:r>
        <w:rPr>
          <w:b/>
        </w:rPr>
        <w:t xml:space="preserve">4.4.5  </w:t>
      </w:r>
      <w:r>
        <w:t>The URGenT-sponsored repeat-dose toxicology studies referenced in presymptomatic protocol §8.2.1. Unless and until one of those studies is a GLP-compliant intrathecal toxicity study in cynomolgus monkey of ≥168 days in-life, it does not satisfy R-8 and shall not be represented internally or externally as doing so.</w:t>
      </w:r>
    </w:p>
    <w:p>
      <w:pPr>
        <w:spacing w:after="100"/>
        <w:ind w:left="461" w:hanging="461"/>
      </w:pPr>
      <w:r>
        <w:rPr>
          <w:b/>
        </w:rPr>
        <w:t xml:space="preserve">4.4.6  </w:t>
      </w:r>
      <w:r>
        <w:t>A commitment to conduct the study in future. The letter requires that the required information have been submitted before initiation. A commitment is not the information. See 5.2.</w:t>
      </w:r>
    </w:p>
    <w:p>
      <w:r>
        <w:br w:type="page"/>
      </w:r>
    </w:p>
    <w:p>
      <w:pPr>
        <w:pStyle w:val="Heading1"/>
      </w:pPr>
      <w:r>
        <w:t>Article 5 — Submission register (executable)</w:t>
      </w:r>
    </w:p>
    <w:p>
      <w:r>
        <w:rPr>
          <w:b w:val="0"/>
          <w:i/>
          <w:sz w:val="19"/>
        </w:rPr>
        <w:t>Every submission the response requires is listed below. Serial numbers are assigned sequentially by Regulatory Operations at the time of filing and shall not be pre-assigned in drafts; the most recent serial of record in the reviewed materials is Serial No. 0003 (General Investigational Plan for the initial IND).</w:t>
      </w:r>
    </w:p>
    <w:tbl>
      <w:tblPr>
        <w:tblStyle w:val="TableGrid"/>
        <w:tblW w:type="auto" w:w="0"/>
        <w:jc w:val="center"/>
        <w:tblLook w:firstColumn="1" w:firstRow="1" w:lastColumn="0" w:lastRow="0" w:noHBand="0" w:noVBand="1" w:val="04A0"/>
      </w:tblPr>
      <w:tblGrid>
        <w:gridCol w:w="1608"/>
        <w:gridCol w:w="1608"/>
        <w:gridCol w:w="1608"/>
        <w:gridCol w:w="1608"/>
        <w:gridCol w:w="1608"/>
        <w:gridCol w:w="1608"/>
      </w:tblGrid>
      <w:tr>
        <w:trPr>
          <w:tblHeader/>
        </w:trPr>
        <w:tc>
          <w:tcPr>
            <w:tcW w:type="dxa" w:w="576"/>
            <w:shd w:val="clear" w:color="auto" w:fill="1F3B57"/>
          </w:tcPr>
          <w:p>
            <w:pPr>
              <w:spacing w:after="40" w:before="40" w:line="240" w:lineRule="auto"/>
            </w:pPr>
            <w:r>
              <w:rPr>
                <w:color w:val="FFFFFF"/>
              </w:rPr>
            </w:r>
            <w:r>
              <w:rPr>
                <w:b/>
                <w:i w:val="0"/>
                <w:color w:val="FFFFFF"/>
                <w:sz w:val="16"/>
              </w:rPr>
              <w:t>ID</w:t>
            </w:r>
          </w:p>
        </w:tc>
        <w:tc>
          <w:tcPr>
            <w:tcW w:type="dxa" w:w="1512"/>
            <w:shd w:val="clear" w:color="auto" w:fill="1F3B57"/>
          </w:tcPr>
          <w:p>
            <w:pPr>
              <w:spacing w:after="40" w:before="40" w:line="240" w:lineRule="auto"/>
            </w:pPr>
            <w:r>
              <w:rPr>
                <w:color w:val="FFFFFF"/>
              </w:rPr>
            </w:r>
            <w:r>
              <w:rPr>
                <w:b/>
                <w:i w:val="0"/>
                <w:color w:val="FFFFFF"/>
                <w:sz w:val="16"/>
              </w:rPr>
              <w:t>Submission</w:t>
            </w:r>
          </w:p>
        </w:tc>
        <w:tc>
          <w:tcPr>
            <w:tcW w:type="dxa" w:w="1800"/>
            <w:shd w:val="clear" w:color="auto" w:fill="1F3B57"/>
          </w:tcPr>
          <w:p>
            <w:pPr>
              <w:spacing w:after="40" w:before="40" w:line="240" w:lineRule="auto"/>
            </w:pPr>
            <w:r>
              <w:rPr>
                <w:color w:val="FFFFFF"/>
              </w:rPr>
            </w:r>
            <w:r>
              <w:rPr>
                <w:b/>
                <w:i w:val="0"/>
                <w:color w:val="FFFFFF"/>
                <w:sz w:val="16"/>
              </w:rPr>
              <w:t>Caption / identifier</w:t>
            </w:r>
          </w:p>
        </w:tc>
        <w:tc>
          <w:tcPr>
            <w:tcW w:type="dxa" w:w="2520"/>
            <w:shd w:val="clear" w:color="auto" w:fill="1F3B57"/>
          </w:tcPr>
          <w:p>
            <w:pPr>
              <w:spacing w:after="40" w:before="40" w:line="240" w:lineRule="auto"/>
            </w:pPr>
            <w:r>
              <w:rPr>
                <w:color w:val="FFFFFF"/>
              </w:rPr>
            </w:r>
            <w:r>
              <w:rPr>
                <w:b/>
                <w:i w:val="0"/>
                <w:color w:val="FFFFFF"/>
                <w:sz w:val="16"/>
              </w:rPr>
              <w:t>Contains</w:t>
            </w:r>
          </w:p>
        </w:tc>
        <w:tc>
          <w:tcPr>
            <w:tcW w:type="dxa" w:w="1656"/>
            <w:shd w:val="clear" w:color="auto" w:fill="1F3B57"/>
          </w:tcPr>
          <w:p>
            <w:pPr>
              <w:spacing w:after="40" w:before="40" w:line="240" w:lineRule="auto"/>
            </w:pPr>
            <w:r>
              <w:rPr>
                <w:color w:val="FFFFFF"/>
              </w:rPr>
            </w:r>
            <w:r>
              <w:rPr>
                <w:b/>
                <w:i w:val="0"/>
                <w:color w:val="FFFFFF"/>
                <w:sz w:val="16"/>
              </w:rPr>
              <w:t>Sequencing</w:t>
            </w:r>
          </w:p>
        </w:tc>
        <w:tc>
          <w:tcPr>
            <w:tcW w:type="dxa" w:w="1728"/>
            <w:shd w:val="clear" w:color="auto" w:fill="1F3B57"/>
          </w:tcPr>
          <w:p>
            <w:pPr>
              <w:spacing w:after="40" w:before="40" w:line="240" w:lineRule="auto"/>
            </w:pPr>
            <w:r>
              <w:rPr>
                <w:color w:val="FFFFFF"/>
              </w:rPr>
            </w:r>
            <w:r>
              <w:rPr>
                <w:b/>
                <w:i w:val="0"/>
                <w:color w:val="FFFFFF"/>
                <w:sz w:val="16"/>
              </w:rPr>
              <w:t>Gates</w:t>
            </w:r>
          </w:p>
        </w:tc>
      </w:tr>
      <w:tr>
        <w:tc>
          <w:tcPr>
            <w:tcW w:type="dxa" w:w="576"/>
          </w:tcPr>
          <w:p>
            <w:pPr>
              <w:spacing w:after="40" w:before="40" w:line="240" w:lineRule="auto"/>
            </w:pPr>
            <w:r/>
            <w:r>
              <w:rPr>
                <w:b w:val="0"/>
                <w:i w:val="0"/>
                <w:sz w:val="16"/>
              </w:rPr>
              <w:t>SR-1</w:t>
            </w:r>
          </w:p>
        </w:tc>
        <w:tc>
          <w:tcPr>
            <w:tcW w:type="dxa" w:w="1512"/>
          </w:tcPr>
          <w:p>
            <w:pPr>
              <w:spacing w:after="40" w:before="40" w:line="240" w:lineRule="auto"/>
            </w:pPr>
            <w:r/>
            <w:r>
              <w:rPr>
                <w:b w:val="0"/>
                <w:i w:val="0"/>
                <w:sz w:val="16"/>
              </w:rPr>
              <w:t>Clinical hold complete response</w:t>
            </w:r>
          </w:p>
        </w:tc>
        <w:tc>
          <w:tcPr>
            <w:tcW w:type="dxa" w:w="1800"/>
          </w:tcPr>
          <w:p>
            <w:pPr>
              <w:spacing w:after="40" w:before="40" w:line="240" w:lineRule="auto"/>
            </w:pPr>
            <w:r/>
            <w:r>
              <w:rPr>
                <w:b w:val="0"/>
                <w:i w:val="0"/>
                <w:sz w:val="16"/>
              </w:rPr>
              <w:t>Must be identified as “CLINICAL HOLD COMPLETE RESPONSE” on the cover letter and first page; cite IND 167326 at the top of the first page.</w:t>
            </w:r>
          </w:p>
        </w:tc>
        <w:tc>
          <w:tcPr>
            <w:tcW w:type="dxa" w:w="2520"/>
          </w:tcPr>
          <w:p>
            <w:pPr>
              <w:spacing w:after="40" w:before="40" w:line="240" w:lineRule="auto"/>
            </w:pPr>
            <w:r/>
            <w:r>
              <w:rPr>
                <w:b w:val="0"/>
                <w:i w:val="0"/>
                <w:sz w:val="16"/>
              </w:rPr>
              <w:t>Final GLP report of the cynomolgus intrathecal toxicity study; point-by-point response to the 312.42(b)(1)(iv) deficiency; dated cross-references to previously submitted information (Article 5.3); any conforming update to the Investigator’s Brochure and to the presymptomatic protocol.</w:t>
            </w:r>
          </w:p>
        </w:tc>
        <w:tc>
          <w:tcPr>
            <w:tcW w:type="dxa" w:w="1656"/>
          </w:tcPr>
          <w:p>
            <w:pPr>
              <w:spacing w:after="40" w:before="40" w:line="240" w:lineRule="auto"/>
            </w:pPr>
            <w:r/>
            <w:r>
              <w:rPr>
                <w:b w:val="0"/>
                <w:i w:val="0"/>
                <w:sz w:val="16"/>
              </w:rPr>
              <w:t>Filed only when the final GLP report exists (5.2.1). Independent of SR-2 and SR-3.</w:t>
            </w:r>
          </w:p>
        </w:tc>
        <w:tc>
          <w:tcPr>
            <w:tcW w:type="dxa" w:w="1728"/>
          </w:tcPr>
          <w:p>
            <w:pPr>
              <w:spacing w:after="40" w:before="40" w:line="240" w:lineRule="auto"/>
            </w:pPr>
            <w:r/>
            <w:r>
              <w:rPr>
                <w:b w:val="0"/>
                <w:i w:val="0"/>
                <w:sz w:val="16"/>
              </w:rPr>
              <w:t>Starts FDA’s 30-day decision period on receipt, if complete. Precondition to resumption (Article 6).</w:t>
            </w:r>
          </w:p>
        </w:tc>
      </w:tr>
      <w:tr>
        <w:tc>
          <w:tcPr>
            <w:tcW w:type="dxa" w:w="576"/>
            <w:shd w:val="clear" w:color="auto" w:fill="F2F5F8"/>
          </w:tcPr>
          <w:p>
            <w:pPr>
              <w:spacing w:after="40" w:before="40" w:line="240" w:lineRule="auto"/>
            </w:pPr>
            <w:r/>
            <w:r>
              <w:rPr>
                <w:b w:val="0"/>
                <w:i w:val="0"/>
                <w:sz w:val="16"/>
              </w:rPr>
              <w:t>SR-2</w:t>
            </w:r>
          </w:p>
        </w:tc>
        <w:tc>
          <w:tcPr>
            <w:tcW w:type="dxa" w:w="1512"/>
            <w:shd w:val="clear" w:color="auto" w:fill="F2F5F8"/>
          </w:tcPr>
          <w:p>
            <w:pPr>
              <w:spacing w:after="40" w:before="40" w:line="240" w:lineRule="auto"/>
            </w:pPr>
            <w:r/>
            <w:r>
              <w:rPr>
                <w:b w:val="0"/>
                <w:i w:val="0"/>
                <w:sz w:val="16"/>
              </w:rPr>
              <w:t>Non-hold response amendment</w:t>
            </w:r>
          </w:p>
        </w:tc>
        <w:tc>
          <w:tcPr>
            <w:tcW w:type="dxa" w:w="1800"/>
            <w:shd w:val="clear" w:color="auto" w:fill="F2F5F8"/>
          </w:tcPr>
          <w:p>
            <w:pPr>
              <w:spacing w:after="40" w:before="40" w:line="240" w:lineRule="auto"/>
            </w:pPr>
            <w:r/>
            <w:r>
              <w:rPr>
                <w:b w:val="0"/>
                <w:i w:val="0"/>
                <w:sz w:val="16"/>
              </w:rPr>
              <w:t>Separate amendment to the IND; not captioned as a clinical hold complete response; cite IND 167326 at the top of the first page.</w:t>
            </w:r>
          </w:p>
        </w:tc>
        <w:tc>
          <w:tcPr>
            <w:tcW w:type="dxa" w:w="2520"/>
            <w:shd w:val="clear" w:color="auto" w:fill="F2F5F8"/>
          </w:tcPr>
          <w:p>
            <w:pPr>
              <w:spacing w:after="40" w:before="40" w:line="240" w:lineRule="auto"/>
            </w:pPr>
            <w:r/>
            <w:r>
              <w:rPr>
                <w:b w:val="0"/>
                <w:i w:val="0"/>
                <w:sz w:val="16"/>
              </w:rPr>
              <w:t>Responses to Clinical comments 1–5, Clinical Pharmacology comment 6, and CMC comments 7–14; revised General Investigational Plan resolving the sample-size discrepancy (comment 5); representative investigational label bearing “Caution: New Drug - Limited by Federal Law to Investigational Use” (comment 12); in-use stability data supporting dilution before administration (comment 14).</w:t>
            </w:r>
          </w:p>
        </w:tc>
        <w:tc>
          <w:tcPr>
            <w:tcW w:type="dxa" w:w="1656"/>
            <w:shd w:val="clear" w:color="auto" w:fill="F2F5F8"/>
          </w:tcPr>
          <w:p>
            <w:pPr>
              <w:spacing w:after="40" w:before="40" w:line="240" w:lineRule="auto"/>
            </w:pPr>
            <w:r/>
            <w:r>
              <w:rPr>
                <w:b w:val="0"/>
                <w:i w:val="0"/>
                <w:sz w:val="16"/>
              </w:rPr>
              <w:t>May be filed before SR-1 and should be. Must not be merged into SR-1.</w:t>
            </w:r>
          </w:p>
        </w:tc>
        <w:tc>
          <w:tcPr>
            <w:tcW w:type="dxa" w:w="1728"/>
            <w:shd w:val="clear" w:color="auto" w:fill="F2F5F8"/>
          </w:tcPr>
          <w:p>
            <w:pPr>
              <w:spacing w:after="40" w:before="40" w:line="240" w:lineRule="auto"/>
            </w:pPr>
            <w:r/>
            <w:r>
              <w:rPr>
                <w:b w:val="0"/>
                <w:i w:val="0"/>
                <w:sz w:val="16"/>
              </w:rPr>
              <w:t>Does not gate resumption. Does not start the hold review clock.</w:t>
            </w:r>
          </w:p>
        </w:tc>
      </w:tr>
      <w:tr>
        <w:tc>
          <w:tcPr>
            <w:tcW w:type="dxa" w:w="576"/>
          </w:tcPr>
          <w:p>
            <w:pPr>
              <w:spacing w:after="40" w:before="40" w:line="240" w:lineRule="auto"/>
            </w:pPr>
            <w:r/>
            <w:r>
              <w:rPr>
                <w:b w:val="0"/>
                <w:i w:val="0"/>
                <w:sz w:val="16"/>
              </w:rPr>
              <w:t>SR-3</w:t>
            </w:r>
          </w:p>
        </w:tc>
        <w:tc>
          <w:tcPr>
            <w:tcW w:type="dxa" w:w="1512"/>
          </w:tcPr>
          <w:p>
            <w:pPr>
              <w:spacing w:after="40" w:before="40" w:line="240" w:lineRule="auto"/>
            </w:pPr>
            <w:r/>
            <w:r>
              <w:rPr>
                <w:b w:val="0"/>
                <w:i w:val="0"/>
                <w:sz w:val="16"/>
              </w:rPr>
              <w:t>Protocol amendment — symptomatic protocol</w:t>
            </w:r>
          </w:p>
        </w:tc>
        <w:tc>
          <w:tcPr>
            <w:tcW w:type="dxa" w:w="1800"/>
          </w:tcPr>
          <w:p>
            <w:pPr>
              <w:spacing w:after="40" w:before="40" w:line="240" w:lineRule="auto"/>
            </w:pPr>
            <w:r/>
            <w:r>
              <w:rPr>
                <w:b w:val="0"/>
                <w:i w:val="0"/>
                <w:sz w:val="16"/>
              </w:rPr>
              <w:t>Protocol amendment under 21 CFR 312.30; cite IND 167326 at the top of the first page.</w:t>
            </w:r>
          </w:p>
        </w:tc>
        <w:tc>
          <w:tcPr>
            <w:tcW w:type="dxa" w:w="2520"/>
          </w:tcPr>
          <w:p>
            <w:pPr>
              <w:spacing w:after="40" w:before="40" w:line="240" w:lineRule="auto"/>
            </w:pPr>
            <w:r/>
            <w:r>
              <w:rPr>
                <w:b w:val="0"/>
                <w:i w:val="0"/>
                <w:sz w:val="16"/>
              </w:rPr>
              <w:t>Revised symptomatic protocol implementing the accepted non-hold comments that change protocol text: quantitative eligibility criterion replacing “Symptoms of prion disease in the opinion of the Investigator” (comment 2); contraception requirements specified as highly effective and made consistent for both sexes (comment 3); CSF and blood PK/PD sampling schedule expressed in hours post-dose on dosing day and days thereafter (comment 6); placebo-control decision and its rationale (comment 1).</w:t>
            </w:r>
          </w:p>
        </w:tc>
        <w:tc>
          <w:tcPr>
            <w:tcW w:type="dxa" w:w="1656"/>
          </w:tcPr>
          <w:p>
            <w:pPr>
              <w:spacing w:after="40" w:before="40" w:line="240" w:lineRule="auto"/>
            </w:pPr>
            <w:r/>
            <w:r>
              <w:rPr>
                <w:b w:val="0"/>
                <w:i w:val="0"/>
                <w:sz w:val="16"/>
              </w:rPr>
              <w:t>May be filed concurrently with SR-2 as a separate serial, or as a discrete module within SR-2, at Regulatory Operations’ election. Not to be placed in SR-1.</w:t>
            </w:r>
          </w:p>
        </w:tc>
        <w:tc>
          <w:tcPr>
            <w:tcW w:type="dxa" w:w="1728"/>
          </w:tcPr>
          <w:p>
            <w:pPr>
              <w:spacing w:after="40" w:before="40" w:line="240" w:lineRule="auto"/>
            </w:pPr>
            <w:r/>
            <w:r>
              <w:rPr>
                <w:b w:val="0"/>
                <w:i w:val="0"/>
                <w:sz w:val="16"/>
              </w:rPr>
              <w:t>Does not gate resumption. Changes to Partition A conduct take effect per 21 CFR 312.30.</w:t>
            </w:r>
          </w:p>
        </w:tc>
      </w:tr>
      <w:tr>
        <w:tc>
          <w:tcPr>
            <w:tcW w:type="dxa" w:w="576"/>
            <w:shd w:val="clear" w:color="auto" w:fill="F2F5F8"/>
          </w:tcPr>
          <w:p>
            <w:pPr>
              <w:spacing w:after="40" w:before="40" w:line="240" w:lineRule="auto"/>
            </w:pPr>
            <w:r/>
            <w:r>
              <w:rPr>
                <w:b w:val="0"/>
                <w:i w:val="0"/>
                <w:sz w:val="16"/>
              </w:rPr>
              <w:t>SR-4</w:t>
            </w:r>
          </w:p>
        </w:tc>
        <w:tc>
          <w:tcPr>
            <w:tcW w:type="dxa" w:w="1512"/>
            <w:shd w:val="clear" w:color="auto" w:fill="F2F5F8"/>
          </w:tcPr>
          <w:p>
            <w:pPr>
              <w:spacing w:after="40" w:before="40" w:line="240" w:lineRule="auto"/>
            </w:pPr>
            <w:r/>
            <w:r>
              <w:rPr>
                <w:b w:val="0"/>
                <w:i w:val="0"/>
                <w:sz w:val="16"/>
              </w:rPr>
              <w:t>Nonclinical study design information amendment</w:t>
            </w:r>
          </w:p>
        </w:tc>
        <w:tc>
          <w:tcPr>
            <w:tcW w:type="dxa" w:w="1800"/>
            <w:shd w:val="clear" w:color="auto" w:fill="F2F5F8"/>
          </w:tcPr>
          <w:p>
            <w:pPr>
              <w:spacing w:after="40" w:before="40" w:line="240" w:lineRule="auto"/>
            </w:pPr>
            <w:r/>
            <w:r>
              <w:rPr>
                <w:b w:val="0"/>
                <w:i w:val="0"/>
                <w:sz w:val="16"/>
              </w:rPr>
              <w:t>Information amendment (nonclinical); cite IND 167326 at the top of the first page.</w:t>
            </w:r>
          </w:p>
        </w:tc>
        <w:tc>
          <w:tcPr>
            <w:tcW w:type="dxa" w:w="2520"/>
            <w:shd w:val="clear" w:color="auto" w:fill="F2F5F8"/>
          </w:tcPr>
          <w:p>
            <w:pPr>
              <w:spacing w:after="40" w:before="40" w:line="240" w:lineRule="auto"/>
            </w:pPr>
            <w:r/>
            <w:r>
              <w:rPr>
                <w:b w:val="0"/>
                <w:i w:val="0"/>
                <w:sz w:val="16"/>
              </w:rPr>
              <w:t>Proposed design of the GLP cynomolgus intrathecal toxicity study: species, GLP status, route, dose levels, group sizes, dosing schedule, ≥168-day in-life period, neurobehavioural and CNS histopathology endpoint set, toxicokinetics, and the sponsor’s construction of “duration similar to or greater than that proposed for humans” with an express invitation to correct it.</w:t>
            </w:r>
          </w:p>
        </w:tc>
        <w:tc>
          <w:tcPr>
            <w:tcW w:type="dxa" w:w="1656"/>
            <w:shd w:val="clear" w:color="auto" w:fill="F2F5F8"/>
          </w:tcPr>
          <w:p>
            <w:pPr>
              <w:spacing w:after="40" w:before="40" w:line="240" w:lineRule="auto"/>
            </w:pPr>
            <w:r/>
            <w:r>
              <w:rPr>
                <w:b w:val="0"/>
                <w:i w:val="0"/>
                <w:sz w:val="16"/>
              </w:rPr>
              <w:t>Filed before the study is booked and before first dose. Sponsor-elected; not required by the letter.</w:t>
            </w:r>
          </w:p>
        </w:tc>
        <w:tc>
          <w:tcPr>
            <w:tcW w:type="dxa" w:w="1728"/>
            <w:shd w:val="clear" w:color="auto" w:fill="F2F5F8"/>
          </w:tcPr>
          <w:p>
            <w:pPr>
              <w:spacing w:after="40" w:before="40" w:line="240" w:lineRule="auto"/>
            </w:pPr>
            <w:r/>
            <w:r>
              <w:rPr>
                <w:b w:val="0"/>
                <w:i w:val="0"/>
                <w:sz w:val="16"/>
              </w:rPr>
              <w:t>Internally gating: no study slot is to be contracted before SR-4 is filed (5.4.1).</w:t>
            </w:r>
          </w:p>
        </w:tc>
      </w:tr>
      <w:tr>
        <w:tc>
          <w:tcPr>
            <w:tcW w:type="dxa" w:w="576"/>
          </w:tcPr>
          <w:p>
            <w:pPr>
              <w:spacing w:after="40" w:before="40" w:line="240" w:lineRule="auto"/>
            </w:pPr>
            <w:r/>
            <w:r>
              <w:rPr>
                <w:b w:val="0"/>
                <w:i w:val="0"/>
                <w:sz w:val="16"/>
              </w:rPr>
              <w:t>SR-5</w:t>
            </w:r>
          </w:p>
        </w:tc>
        <w:tc>
          <w:tcPr>
            <w:tcW w:type="dxa" w:w="1512"/>
          </w:tcPr>
          <w:p>
            <w:pPr>
              <w:spacing w:after="40" w:before="40" w:line="240" w:lineRule="auto"/>
            </w:pPr>
            <w:r/>
            <w:r>
              <w:rPr>
                <w:b w:val="0"/>
                <w:i w:val="0"/>
                <w:sz w:val="16"/>
              </w:rPr>
              <w:t>Bioanalytical method amendment</w:t>
            </w:r>
          </w:p>
        </w:tc>
        <w:tc>
          <w:tcPr>
            <w:tcW w:type="dxa" w:w="1800"/>
          </w:tcPr>
          <w:p>
            <w:pPr>
              <w:spacing w:after="40" w:before="40" w:line="240" w:lineRule="auto"/>
            </w:pPr>
            <w:r/>
            <w:r>
              <w:rPr>
                <w:b w:val="0"/>
                <w:i w:val="0"/>
                <w:sz w:val="16"/>
              </w:rPr>
              <w:t>Information amendment; cite IND 167326 at the top of the first page.</w:t>
            </w:r>
          </w:p>
        </w:tc>
        <w:tc>
          <w:tcPr>
            <w:tcW w:type="dxa" w:w="2520"/>
          </w:tcPr>
          <w:p>
            <w:pPr>
              <w:spacing w:after="40" w:before="40" w:line="240" w:lineRule="auto"/>
            </w:pPr>
            <w:r/>
            <w:r>
              <w:rPr>
                <w:b w:val="0"/>
                <w:i w:val="0"/>
                <w:sz w:val="16"/>
              </w:rPr>
              <w:t>CSF total-PrP assay method development and validation protocols, fit-for-purpose justification for the declared context of use, matrix and control-sample strategy, specificity and sensitivity for all analytes.</w:t>
            </w:r>
          </w:p>
        </w:tc>
        <w:tc>
          <w:tcPr>
            <w:tcW w:type="dxa" w:w="1656"/>
          </w:tcPr>
          <w:p>
            <w:pPr>
              <w:spacing w:after="40" w:before="40" w:line="240" w:lineRule="auto"/>
            </w:pPr>
            <w:r/>
            <w:r>
              <w:rPr>
                <w:b w:val="0"/>
                <w:i w:val="0"/>
                <w:sz w:val="16"/>
              </w:rPr>
              <w:t>Required before the method is used in any efficacy trial; the letter encourages submission for review and discussion in advance.</w:t>
            </w:r>
          </w:p>
        </w:tc>
        <w:tc>
          <w:tcPr>
            <w:tcW w:type="dxa" w:w="1728"/>
          </w:tcPr>
          <w:p>
            <w:pPr>
              <w:spacing w:after="40" w:before="40" w:line="240" w:lineRule="auto"/>
            </w:pPr>
            <w:r/>
            <w:r>
              <w:rPr>
                <w:b w:val="0"/>
                <w:i w:val="0"/>
                <w:sz w:val="16"/>
              </w:rPr>
              <w:t>Does not gate resumption or Partition A conduct. Gates efficacy-supporting use of PrP as a biomarker.</w:t>
            </w:r>
          </w:p>
        </w:tc>
      </w:tr>
      <w:tr>
        <w:tc>
          <w:tcPr>
            <w:tcW w:type="dxa" w:w="576"/>
            <w:shd w:val="clear" w:color="auto" w:fill="F2F5F8"/>
          </w:tcPr>
          <w:p>
            <w:pPr>
              <w:spacing w:after="40" w:before="40" w:line="240" w:lineRule="auto"/>
            </w:pPr>
            <w:r/>
            <w:r>
              <w:rPr>
                <w:b w:val="0"/>
                <w:i w:val="0"/>
                <w:sz w:val="16"/>
              </w:rPr>
              <w:t>SR-6</w:t>
            </w:r>
          </w:p>
        </w:tc>
        <w:tc>
          <w:tcPr>
            <w:tcW w:type="dxa" w:w="1512"/>
            <w:shd w:val="clear" w:color="auto" w:fill="F2F5F8"/>
          </w:tcPr>
          <w:p>
            <w:pPr>
              <w:spacing w:after="40" w:before="40" w:line="240" w:lineRule="auto"/>
            </w:pPr>
            <w:r/>
            <w:r>
              <w:rPr>
                <w:b w:val="0"/>
                <w:i w:val="0"/>
                <w:sz w:val="16"/>
              </w:rPr>
              <w:t>Annual progress report</w:t>
            </w:r>
          </w:p>
        </w:tc>
        <w:tc>
          <w:tcPr>
            <w:tcW w:type="dxa" w:w="1800"/>
            <w:shd w:val="clear" w:color="auto" w:fill="F2F5F8"/>
          </w:tcPr>
          <w:p>
            <w:pPr>
              <w:spacing w:after="40" w:before="40" w:line="240" w:lineRule="auto"/>
            </w:pPr>
            <w:r/>
            <w:r>
              <w:rPr>
                <w:b w:val="0"/>
                <w:i w:val="0"/>
                <w:sz w:val="16"/>
              </w:rPr>
              <w:t>Annual report under 21 CFR 312.33; cite IND 167326 at the top of the first page.</w:t>
            </w:r>
          </w:p>
        </w:tc>
        <w:tc>
          <w:tcPr>
            <w:tcW w:type="dxa" w:w="2520"/>
            <w:shd w:val="clear" w:color="auto" w:fill="F2F5F8"/>
          </w:tcPr>
          <w:p>
            <w:pPr>
              <w:spacing w:after="40" w:before="40" w:line="240" w:lineRule="auto"/>
            </w:pPr>
            <w:r/>
            <w:r>
              <w:rPr>
                <w:b w:val="0"/>
                <w:i w:val="0"/>
                <w:sz w:val="16"/>
              </w:rPr>
              <w:t>Progress report covering both protocols, including the status of the hold and of the cynomolgus study.</w:t>
            </w:r>
          </w:p>
        </w:tc>
        <w:tc>
          <w:tcPr>
            <w:tcW w:type="dxa" w:w="1656"/>
            <w:shd w:val="clear" w:color="auto" w:fill="F2F5F8"/>
          </w:tcPr>
          <w:p>
            <w:pPr>
              <w:spacing w:after="40" w:before="40" w:line="240" w:lineRule="auto"/>
            </w:pPr>
            <w:r/>
            <w:r>
              <w:rPr>
                <w:b w:val="0"/>
                <w:i w:val="0"/>
                <w:sz w:val="16"/>
              </w:rPr>
              <w:t>Due within 60 days of the anniversary of the date the IND became active (the date clinical studies were permitted to begin).</w:t>
            </w:r>
          </w:p>
        </w:tc>
        <w:tc>
          <w:tcPr>
            <w:tcW w:type="dxa" w:w="1728"/>
            <w:shd w:val="clear" w:color="auto" w:fill="F2F5F8"/>
          </w:tcPr>
          <w:p>
            <w:pPr>
              <w:spacing w:after="40" w:before="40" w:line="240" w:lineRule="auto"/>
            </w:pPr>
            <w:r/>
            <w:r>
              <w:rPr>
                <w:b w:val="0"/>
                <w:i w:val="0"/>
                <w:sz w:val="16"/>
              </w:rPr>
              <w:t>Standing obligation; unaffected by the hold.</w:t>
            </w:r>
          </w:p>
        </w:tc>
      </w:tr>
      <w:tr>
        <w:tc>
          <w:tcPr>
            <w:tcW w:type="dxa" w:w="576"/>
          </w:tcPr>
          <w:p>
            <w:pPr>
              <w:spacing w:after="40" w:before="40" w:line="240" w:lineRule="auto"/>
            </w:pPr>
            <w:r/>
            <w:r>
              <w:rPr>
                <w:b w:val="0"/>
                <w:i w:val="0"/>
                <w:sz w:val="16"/>
              </w:rPr>
              <w:t>SR-7</w:t>
            </w:r>
          </w:p>
        </w:tc>
        <w:tc>
          <w:tcPr>
            <w:tcW w:type="dxa" w:w="1512"/>
          </w:tcPr>
          <w:p>
            <w:pPr>
              <w:spacing w:after="40" w:before="40" w:line="240" w:lineRule="auto"/>
            </w:pPr>
            <w:r/>
            <w:r>
              <w:rPr>
                <w:b w:val="0"/>
                <w:i w:val="0"/>
                <w:sz w:val="16"/>
              </w:rPr>
              <w:t>Expedited safety reports</w:t>
            </w:r>
          </w:p>
        </w:tc>
        <w:tc>
          <w:tcPr>
            <w:tcW w:type="dxa" w:w="1800"/>
          </w:tcPr>
          <w:p>
            <w:pPr>
              <w:spacing w:after="40" w:before="40" w:line="240" w:lineRule="auto"/>
            </w:pPr>
            <w:r/>
            <w:r>
              <w:rPr>
                <w:b w:val="0"/>
                <w:i w:val="0"/>
                <w:sz w:val="16"/>
              </w:rPr>
              <w:t>7-day and 15-day IND safety reports under 21 CFR 312.32; cite IND 167326 at the top of the first page.</w:t>
            </w:r>
          </w:p>
        </w:tc>
        <w:tc>
          <w:tcPr>
            <w:tcW w:type="dxa" w:w="2520"/>
          </w:tcPr>
          <w:p>
            <w:pPr>
              <w:spacing w:after="40" w:before="40" w:line="240" w:lineRule="auto"/>
            </w:pPr>
            <w:r/>
            <w:r>
              <w:rPr>
                <w:b w:val="0"/>
                <w:i w:val="0"/>
                <w:sz w:val="16"/>
              </w:rPr>
              <w:t>Unexpected fatal or life-threatening suspected adverse reactions (7 calendar days); serious unexpected suspected adverse reactions, findings suggesting significant human risk, and clinically important increases in the rate of a serious suspected adverse reaction (15 calendar days, to the Division and to all investigators).</w:t>
            </w:r>
          </w:p>
        </w:tc>
        <w:tc>
          <w:tcPr>
            <w:tcW w:type="dxa" w:w="1656"/>
          </w:tcPr>
          <w:p>
            <w:pPr>
              <w:spacing w:after="40" w:before="40" w:line="240" w:lineRule="auto"/>
            </w:pPr>
            <w:r/>
            <w:r>
              <w:rPr>
                <w:b w:val="0"/>
                <w:i w:val="0"/>
                <w:sz w:val="16"/>
              </w:rPr>
              <w:t>Event-driven, from first dosing in Partition A onward.</w:t>
            </w:r>
          </w:p>
        </w:tc>
        <w:tc>
          <w:tcPr>
            <w:tcW w:type="dxa" w:w="1728"/>
          </w:tcPr>
          <w:p>
            <w:pPr>
              <w:spacing w:after="40" w:before="40" w:line="240" w:lineRule="auto"/>
            </w:pPr>
            <w:r/>
            <w:r>
              <w:rPr>
                <w:b w:val="0"/>
                <w:i w:val="0"/>
                <w:sz w:val="16"/>
              </w:rPr>
              <w:t>Standing obligation; mechanics fixed in Article 10.</w:t>
            </w:r>
          </w:p>
        </w:tc>
      </w:tr>
    </w:tbl>
    <w:p>
      <w:pPr>
        <w:spacing w:after="40"/>
      </w:pPr>
    </w:p>
    <w:p>
      <w:pPr>
        <w:pStyle w:val="Heading2"/>
      </w:pPr>
      <w:r>
        <w:t>5.1  Packaging: SR-1 and SR-2 are separate submissions</w:t>
      </w:r>
    </w:p>
    <w:p>
      <w:pPr>
        <w:spacing w:after="100"/>
        <w:ind w:left="461" w:hanging="461"/>
      </w:pPr>
      <w:r>
        <w:rPr>
          <w:b/>
        </w:rPr>
        <w:t xml:space="preserve">5.1.1  </w:t>
      </w:r>
      <w:r>
        <w:t>The hold-deficiency response and the non-hold responses shall be filed as two distinct submissions. They shall not be combined, bundled, cross-captioned, or “flagged for parallel review” within one serial.</w:t>
      </w:r>
      <w:r>
        <w:t xml:space="preserve"> </w:t>
      </w:r>
      <w:r>
        <w:rPr>
          <w:i/>
        </w:rPr>
        <w:t>[FIXED BY LETTER — R-13: “Your responses to any non-hold issues should be addressed in a separate amendment to the IND.”]</w:t>
      </w:r>
    </w:p>
    <w:p>
      <w:pPr>
        <w:spacing w:after="100"/>
        <w:ind w:left="461" w:hanging="461"/>
      </w:pPr>
      <w:r>
        <w:rPr>
          <w:b/>
        </w:rPr>
        <w:t xml:space="preserve">5.1.2  </w:t>
      </w:r>
      <w:r>
        <w:t>REGOPS-MEMO-2025-04-02 §3 and REGOPS-DRAFT-2025-04-09 §§1 and 4, which combine them, are void (Article 8, ruling A-2). The operational reason to comply, beyond the instruction itself: material that is not responsive to the hold, packaged inside a submission captioned “CLINICAL HOLD COMPLETE RESPONSE,” gives the Division grounds to treat the filing as unclear or incomplete, and by the letter’s own terms an incomplete response does not start the 30-day clock. The packaging shortcut risks the exact delay it was intended to avoid.</w:t>
      </w:r>
    </w:p>
    <w:p>
      <w:pPr>
        <w:spacing w:after="100"/>
        <w:ind w:left="461" w:hanging="461"/>
      </w:pPr>
      <w:r>
        <w:rPr>
          <w:b/>
        </w:rPr>
        <w:t xml:space="preserve">5.1.3  </w:t>
      </w:r>
      <w:r>
        <w:t>SR-2 and SR-3 do not depend on the cynomolgus study and shall not be held back to travel with SR-1. Regulatory Operations shall file SR-2 and SR-3 as soon as their content is ready.</w:t>
      </w:r>
    </w:p>
    <w:p>
      <w:pPr>
        <w:pStyle w:val="Heading2"/>
      </w:pPr>
      <w:r>
        <w:t>5.2  Completeness precondition for SR-1</w:t>
      </w:r>
    </w:p>
    <w:p>
      <w:pPr>
        <w:spacing w:after="100"/>
        <w:ind w:left="461" w:hanging="461"/>
      </w:pPr>
      <w:r>
        <w:rPr>
          <w:b/>
        </w:rPr>
        <w:t xml:space="preserve">5.2.1  </w:t>
      </w:r>
      <w:r>
        <w:t>SR-1 shall not be transmitted until the final report of the GLP cynomolgus intrathecal toxicity study, meeting Article 4, is in hand and included. Draft reports, interim in-life summaries, protocol-only filings and study commitments are not the required information.</w:t>
      </w:r>
    </w:p>
    <w:p>
      <w:pPr>
        <w:spacing w:after="100"/>
        <w:ind w:left="461" w:hanging="461"/>
      </w:pPr>
      <w:r>
        <w:rPr>
          <w:b/>
        </w:rPr>
        <w:t xml:space="preserve">5.2.2  </w:t>
      </w:r>
      <w:r>
        <w:t>SR-1 shall contain a completeness attestation, signed by Regulatory Operations, mapping each element of the deficiency statement (R-6 to R-8) to the page of SR-1 that answers it. The attestation is an internal control against a no-clock-start finding.</w:t>
      </w:r>
    </w:p>
    <w:p>
      <w:pPr>
        <w:spacing w:after="100"/>
        <w:ind w:left="461" w:hanging="461"/>
      </w:pPr>
      <w:r>
        <w:rPr>
          <w:b/>
        </w:rPr>
        <w:t xml:space="preserve">5.2.3  </w:t>
      </w:r>
      <w:r>
        <w:t>SR-1 shall not raise, argue or preserve any position that the cynomolgus study was unnecessary. Scientific context may be provided; the submission’s posture is compliance, not rebuttal.</w:t>
      </w:r>
    </w:p>
    <w:p>
      <w:pPr>
        <w:pStyle w:val="Heading2"/>
      </w:pPr>
      <w:r>
        <w:t>5.3  Dated cross-references in SR-1 (mandatory)</w:t>
      </w:r>
    </w:p>
    <w:p>
      <w:r>
        <w:rPr>
          <w:b w:val="0"/>
          <w:i w:val="0"/>
        </w:rPr>
        <w:t>The letter requires the complete response to reference, by date, any previously submitted information necessary to fully respond. The following are the references of record; the list is a floor, not a ceiling.</w:t>
      </w:r>
    </w:p>
    <w:tbl>
      <w:tblPr>
        <w:tblStyle w:val="TableGrid"/>
        <w:tblW w:type="auto" w:w="0"/>
        <w:jc w:val="center"/>
        <w:tblLook w:firstColumn="1" w:firstRow="1" w:lastColumn="0" w:lastRow="0" w:noHBand="0" w:noVBand="1" w:val="04A0"/>
      </w:tblPr>
      <w:tblGrid>
        <w:gridCol w:w="3216"/>
        <w:gridCol w:w="3216"/>
        <w:gridCol w:w="3216"/>
      </w:tblGrid>
      <w:tr>
        <w:trPr>
          <w:tblHeader/>
        </w:trPr>
        <w:tc>
          <w:tcPr>
            <w:tcW w:type="dxa" w:w="3600"/>
            <w:shd w:val="clear" w:color="auto" w:fill="1F3B57"/>
          </w:tcPr>
          <w:p>
            <w:pPr>
              <w:spacing w:after="40" w:before="40" w:line="240" w:lineRule="auto"/>
            </w:pPr>
            <w:r>
              <w:rPr>
                <w:color w:val="FFFFFF"/>
              </w:rPr>
            </w:r>
            <w:r>
              <w:rPr>
                <w:b/>
                <w:i w:val="0"/>
                <w:color w:val="FFFFFF"/>
                <w:sz w:val="18"/>
              </w:rPr>
              <w:t>Previously submitted information</w:t>
            </w:r>
          </w:p>
        </w:tc>
        <w:tc>
          <w:tcPr>
            <w:tcW w:type="dxa" w:w="1872"/>
            <w:shd w:val="clear" w:color="auto" w:fill="1F3B57"/>
          </w:tcPr>
          <w:p>
            <w:pPr>
              <w:spacing w:after="40" w:before="40" w:line="240" w:lineRule="auto"/>
            </w:pPr>
            <w:r>
              <w:rPr>
                <w:color w:val="FFFFFF"/>
              </w:rPr>
            </w:r>
            <w:r>
              <w:rPr>
                <w:b/>
                <w:i w:val="0"/>
                <w:color w:val="FFFFFF"/>
                <w:sz w:val="18"/>
              </w:rPr>
              <w:t>Date to be cited</w:t>
            </w:r>
          </w:p>
        </w:tc>
        <w:tc>
          <w:tcPr>
            <w:tcW w:type="dxa" w:w="4320"/>
            <w:shd w:val="clear" w:color="auto" w:fill="1F3B57"/>
          </w:tcPr>
          <w:p>
            <w:pPr>
              <w:spacing w:after="40" w:before="40" w:line="240" w:lineRule="auto"/>
            </w:pPr>
            <w:r>
              <w:rPr>
                <w:color w:val="FFFFFF"/>
              </w:rPr>
            </w:r>
            <w:r>
              <w:rPr>
                <w:b/>
                <w:i w:val="0"/>
                <w:color w:val="FFFFFF"/>
                <w:sz w:val="18"/>
              </w:rPr>
              <w:t>Why it is necessary to the response</w:t>
            </w:r>
          </w:p>
        </w:tc>
      </w:tr>
      <w:tr>
        <w:tc>
          <w:tcPr>
            <w:tcW w:type="dxa" w:w="3600"/>
          </w:tcPr>
          <w:p>
            <w:pPr>
              <w:spacing w:after="40" w:before="40" w:line="240" w:lineRule="auto"/>
            </w:pPr>
            <w:r/>
            <w:r>
              <w:rPr>
                <w:b w:val="0"/>
                <w:i w:val="0"/>
                <w:sz w:val="18"/>
              </w:rPr>
              <w:t>IND amendment</w:t>
            </w:r>
          </w:p>
        </w:tc>
        <w:tc>
          <w:tcPr>
            <w:tcW w:type="dxa" w:w="1872"/>
          </w:tcPr>
          <w:p>
            <w:pPr>
              <w:spacing w:after="40" w:before="40" w:line="240" w:lineRule="auto"/>
            </w:pPr>
            <w:r/>
            <w:r>
              <w:rPr>
                <w:b w:val="0"/>
                <w:i w:val="0"/>
                <w:sz w:val="18"/>
              </w:rPr>
              <w:t>7 February 2025</w:t>
            </w:r>
          </w:p>
        </w:tc>
        <w:tc>
          <w:tcPr>
            <w:tcW w:type="dxa" w:w="4320"/>
          </w:tcPr>
          <w:p>
            <w:pPr>
              <w:spacing w:after="40" w:before="40" w:line="240" w:lineRule="auto"/>
            </w:pPr>
            <w:r/>
            <w:r>
              <w:rPr>
                <w:b w:val="0"/>
                <w:i w:val="0"/>
                <w:sz w:val="18"/>
              </w:rPr>
              <w:t>Expressly referenced in the letter; the amendment under which the presymptomatic protocol (v6, 2 February 2025) sits.</w:t>
            </w:r>
          </w:p>
        </w:tc>
      </w:tr>
      <w:tr>
        <w:tc>
          <w:tcPr>
            <w:tcW w:type="dxa" w:w="3600"/>
            <w:shd w:val="clear" w:color="auto" w:fill="F2F5F8"/>
          </w:tcPr>
          <w:p>
            <w:pPr>
              <w:spacing w:after="40" w:before="40" w:line="240" w:lineRule="auto"/>
            </w:pPr>
            <w:r/>
            <w:r>
              <w:rPr>
                <w:b w:val="0"/>
                <w:i w:val="0"/>
                <w:sz w:val="18"/>
              </w:rPr>
              <w:t>Amended protocol (symptomatic)</w:t>
            </w:r>
          </w:p>
        </w:tc>
        <w:tc>
          <w:tcPr>
            <w:tcW w:type="dxa" w:w="1872"/>
            <w:shd w:val="clear" w:color="auto" w:fill="F2F5F8"/>
          </w:tcPr>
          <w:p>
            <w:pPr>
              <w:spacing w:after="40" w:before="40" w:line="240" w:lineRule="auto"/>
            </w:pPr>
            <w:r/>
            <w:r>
              <w:rPr>
                <w:b w:val="0"/>
                <w:i w:val="0"/>
                <w:sz w:val="18"/>
              </w:rPr>
              <w:t>6 March 2025</w:t>
            </w:r>
          </w:p>
        </w:tc>
        <w:tc>
          <w:tcPr>
            <w:tcW w:type="dxa" w:w="4320"/>
            <w:shd w:val="clear" w:color="auto" w:fill="F2F5F8"/>
          </w:tcPr>
          <w:p>
            <w:pPr>
              <w:spacing w:after="40" w:before="40" w:line="240" w:lineRule="auto"/>
            </w:pPr>
            <w:r/>
            <w:r>
              <w:rPr>
                <w:b w:val="0"/>
                <w:i w:val="0"/>
                <w:sz w:val="18"/>
              </w:rPr>
              <w:t>Expressly referenced in the letter; Version 2025-03-06 v7 is the protocol of record for Partition A.</w:t>
            </w:r>
          </w:p>
        </w:tc>
      </w:tr>
      <w:tr>
        <w:tc>
          <w:tcPr>
            <w:tcW w:type="dxa" w:w="3600"/>
          </w:tcPr>
          <w:p>
            <w:pPr>
              <w:spacing w:after="40" w:before="40" w:line="240" w:lineRule="auto"/>
            </w:pPr>
            <w:r/>
            <w:r>
              <w:rPr>
                <w:b w:val="0"/>
                <w:i w:val="0"/>
                <w:sz w:val="18"/>
              </w:rPr>
              <w:t>Presymptomatic protocol, Version 2025-02-02-v6</w:t>
            </w:r>
          </w:p>
        </w:tc>
        <w:tc>
          <w:tcPr>
            <w:tcW w:type="dxa" w:w="1872"/>
          </w:tcPr>
          <w:p>
            <w:pPr>
              <w:spacing w:after="40" w:before="40" w:line="240" w:lineRule="auto"/>
            </w:pPr>
            <w:r/>
            <w:r>
              <w:rPr>
                <w:b w:val="0"/>
                <w:i w:val="0"/>
                <w:sz w:val="18"/>
              </w:rPr>
              <w:t>2 February 2025</w:t>
            </w:r>
          </w:p>
        </w:tc>
        <w:tc>
          <w:tcPr>
            <w:tcW w:type="dxa" w:w="4320"/>
          </w:tcPr>
          <w:p>
            <w:pPr>
              <w:spacing w:after="40" w:before="40" w:line="240" w:lineRule="auto"/>
            </w:pPr>
            <w:r/>
            <w:r>
              <w:rPr>
                <w:b w:val="0"/>
                <w:i w:val="0"/>
                <w:sz w:val="18"/>
              </w:rPr>
              <w:t>The protocol whose initiation is sought; identifies the human duration against which the cynomolgus study duration is measured.</w:t>
            </w:r>
          </w:p>
        </w:tc>
      </w:tr>
      <w:tr>
        <w:tc>
          <w:tcPr>
            <w:tcW w:type="dxa" w:w="3600"/>
            <w:shd w:val="clear" w:color="auto" w:fill="F2F5F8"/>
          </w:tcPr>
          <w:p>
            <w:pPr>
              <w:spacing w:after="40" w:before="40" w:line="240" w:lineRule="auto"/>
            </w:pPr>
            <w:r/>
            <w:r>
              <w:rPr>
                <w:b w:val="0"/>
                <w:i w:val="0"/>
                <w:sz w:val="18"/>
              </w:rPr>
              <w:t>GLP single intrathecal dose toxicity and toxicokinetic study in Sprague Dawley rat with 28-day recovery, A-703-01 (Report REPORT-00611 v1.0, approved 18 April 2025)</w:t>
            </w:r>
          </w:p>
        </w:tc>
        <w:tc>
          <w:tcPr>
            <w:tcW w:type="dxa" w:w="1872"/>
            <w:shd w:val="clear" w:color="auto" w:fill="F2F5F8"/>
          </w:tcPr>
          <w:p>
            <w:pPr>
              <w:spacing w:after="40" w:before="40" w:line="240" w:lineRule="auto"/>
            </w:pPr>
            <w:r/>
            <w:r>
              <w:rPr>
                <w:b w:val="0"/>
                <w:i w:val="0"/>
                <w:sz w:val="18"/>
              </w:rPr>
              <w:t>Date of the submission that filed it</w:t>
            </w:r>
          </w:p>
        </w:tc>
        <w:tc>
          <w:tcPr>
            <w:tcW w:type="dxa" w:w="4320"/>
            <w:shd w:val="clear" w:color="auto" w:fill="F2F5F8"/>
          </w:tcPr>
          <w:p>
            <w:pPr>
              <w:spacing w:after="40" w:before="40" w:line="240" w:lineRule="auto"/>
            </w:pPr>
            <w:r/>
            <w:r>
              <w:rPr>
                <w:b w:val="0"/>
                <w:i w:val="0"/>
                <w:sz w:val="18"/>
              </w:rPr>
              <w:t>Establishes the existing GLP package the cynomolgus study extends; species must be stated correctly.</w:t>
            </w:r>
          </w:p>
        </w:tc>
      </w:tr>
      <w:tr>
        <w:tc>
          <w:tcPr>
            <w:tcW w:type="dxa" w:w="3600"/>
          </w:tcPr>
          <w:p>
            <w:pPr>
              <w:spacing w:after="40" w:before="40" w:line="240" w:lineRule="auto"/>
            </w:pPr>
            <w:r/>
            <w:r>
              <w:rPr>
                <w:b w:val="0"/>
                <w:i w:val="0"/>
                <w:sz w:val="18"/>
              </w:rPr>
              <w:t>GLP single intrathecal dose toxicology and toxicokinetic study in dog with 28-day recovery, A-703-02 (Report REPORT-00664 v1.0, approved 18 April 2025)</w:t>
            </w:r>
          </w:p>
        </w:tc>
        <w:tc>
          <w:tcPr>
            <w:tcW w:type="dxa" w:w="1872"/>
          </w:tcPr>
          <w:p>
            <w:pPr>
              <w:spacing w:after="40" w:before="40" w:line="240" w:lineRule="auto"/>
            </w:pPr>
            <w:r/>
            <w:r>
              <w:rPr>
                <w:b w:val="0"/>
                <w:i w:val="0"/>
                <w:sz w:val="18"/>
              </w:rPr>
              <w:t>Date of the submission that filed it</w:t>
            </w:r>
          </w:p>
        </w:tc>
        <w:tc>
          <w:tcPr>
            <w:tcW w:type="dxa" w:w="4320"/>
          </w:tcPr>
          <w:p>
            <w:pPr>
              <w:spacing w:after="40" w:before="40" w:line="240" w:lineRule="auto"/>
            </w:pPr>
            <w:r/>
            <w:r>
              <w:rPr>
                <w:b w:val="0"/>
                <w:i w:val="0"/>
                <w:sz w:val="18"/>
              </w:rPr>
              <w:t>As above.</w:t>
            </w:r>
          </w:p>
        </w:tc>
      </w:tr>
      <w:tr>
        <w:tc>
          <w:tcPr>
            <w:tcW w:type="dxa" w:w="3600"/>
            <w:shd w:val="clear" w:color="auto" w:fill="F2F5F8"/>
          </w:tcPr>
          <w:p>
            <w:pPr>
              <w:spacing w:after="40" w:before="40" w:line="240" w:lineRule="auto"/>
            </w:pPr>
            <w:r/>
            <w:r>
              <w:rPr>
                <w:b w:val="0"/>
                <w:i w:val="0"/>
                <w:sz w:val="18"/>
              </w:rPr>
              <w:t>Non-GLP maximum tolerated intrathecal dose study in dog, A-703-03 (25 September 2024)</w:t>
            </w:r>
          </w:p>
        </w:tc>
        <w:tc>
          <w:tcPr>
            <w:tcW w:type="dxa" w:w="1872"/>
            <w:shd w:val="clear" w:color="auto" w:fill="F2F5F8"/>
          </w:tcPr>
          <w:p>
            <w:pPr>
              <w:spacing w:after="40" w:before="40" w:line="240" w:lineRule="auto"/>
            </w:pPr>
            <w:r/>
            <w:r>
              <w:rPr>
                <w:b w:val="0"/>
                <w:i w:val="0"/>
                <w:sz w:val="18"/>
              </w:rPr>
              <w:t>Date of the submission that filed it</w:t>
            </w:r>
          </w:p>
        </w:tc>
        <w:tc>
          <w:tcPr>
            <w:tcW w:type="dxa" w:w="4320"/>
            <w:shd w:val="clear" w:color="auto" w:fill="F2F5F8"/>
          </w:tcPr>
          <w:p>
            <w:pPr>
              <w:spacing w:after="40" w:before="40" w:line="240" w:lineRule="auto"/>
            </w:pPr>
            <w:r/>
            <w:r>
              <w:rPr>
                <w:b w:val="0"/>
                <w:i w:val="0"/>
                <w:sz w:val="18"/>
              </w:rPr>
              <w:t>Dose-selection context for the cynomolgus design.</w:t>
            </w:r>
          </w:p>
        </w:tc>
      </w:tr>
      <w:tr>
        <w:tc>
          <w:tcPr>
            <w:tcW w:type="dxa" w:w="3600"/>
          </w:tcPr>
          <w:p>
            <w:pPr>
              <w:spacing w:after="40" w:before="40" w:line="240" w:lineRule="auto"/>
            </w:pPr>
            <w:r/>
            <w:r>
              <w:rPr>
                <w:b w:val="0"/>
                <w:i w:val="0"/>
                <w:sz w:val="18"/>
              </w:rPr>
              <w:t>Humanised transgenic mouse package (Tg25109, Tg26372 mapping and efficacy reports)</w:t>
            </w:r>
          </w:p>
        </w:tc>
        <w:tc>
          <w:tcPr>
            <w:tcW w:type="dxa" w:w="1872"/>
          </w:tcPr>
          <w:p>
            <w:pPr>
              <w:spacing w:after="40" w:before="40" w:line="240" w:lineRule="auto"/>
            </w:pPr>
            <w:r/>
            <w:r>
              <w:rPr>
                <w:b w:val="0"/>
                <w:i w:val="0"/>
                <w:sz w:val="18"/>
              </w:rPr>
              <w:t>Date of the submission that filed it</w:t>
            </w:r>
          </w:p>
        </w:tc>
        <w:tc>
          <w:tcPr>
            <w:tcW w:type="dxa" w:w="4320"/>
          </w:tcPr>
          <w:p>
            <w:pPr>
              <w:spacing w:after="40" w:before="40" w:line="240" w:lineRule="auto"/>
            </w:pPr>
            <w:r/>
            <w:r>
              <w:rPr>
                <w:b w:val="0"/>
                <w:i w:val="0"/>
                <w:sz w:val="18"/>
              </w:rPr>
              <w:t>On-target pharmacology context; supporting only (4.4.3).</w:t>
            </w:r>
          </w:p>
        </w:tc>
      </w:tr>
      <w:tr>
        <w:tc>
          <w:tcPr>
            <w:tcW w:type="dxa" w:w="3600"/>
            <w:shd w:val="clear" w:color="auto" w:fill="F2F5F8"/>
          </w:tcPr>
          <w:p>
            <w:pPr>
              <w:spacing w:after="40" w:before="40" w:line="240" w:lineRule="auto"/>
            </w:pPr>
            <w:r/>
            <w:r>
              <w:rPr>
                <w:b w:val="0"/>
                <w:i w:val="0"/>
                <w:sz w:val="18"/>
              </w:rPr>
              <w:t>Investigator’s Brochure (module 1.14.4) as most recently submitted</w:t>
            </w:r>
          </w:p>
        </w:tc>
        <w:tc>
          <w:tcPr>
            <w:tcW w:type="dxa" w:w="1872"/>
            <w:shd w:val="clear" w:color="auto" w:fill="F2F5F8"/>
          </w:tcPr>
          <w:p>
            <w:pPr>
              <w:spacing w:after="40" w:before="40" w:line="240" w:lineRule="auto"/>
            </w:pPr>
            <w:r/>
            <w:r>
              <w:rPr>
                <w:b w:val="0"/>
                <w:i w:val="0"/>
                <w:sz w:val="18"/>
              </w:rPr>
              <w:t>Date of the version cited</w:t>
            </w:r>
          </w:p>
        </w:tc>
        <w:tc>
          <w:tcPr>
            <w:tcW w:type="dxa" w:w="4320"/>
            <w:shd w:val="clear" w:color="auto" w:fill="F2F5F8"/>
          </w:tcPr>
          <w:p>
            <w:pPr>
              <w:spacing w:after="40" w:before="40" w:line="240" w:lineRule="auto"/>
            </w:pPr>
            <w:r/>
            <w:r>
              <w:rPr>
                <w:b w:val="0"/>
                <w:i w:val="0"/>
                <w:sz w:val="18"/>
              </w:rPr>
              <w:t>Must be reconciled with the cynomolgus findings in SR-1.</w:t>
            </w:r>
          </w:p>
        </w:tc>
      </w:tr>
    </w:tbl>
    <w:p>
      <w:pPr>
        <w:spacing w:after="40"/>
      </w:pPr>
    </w:p>
    <w:p>
      <w:pPr>
        <w:spacing w:after="100"/>
        <w:ind w:left="461" w:hanging="461"/>
      </w:pPr>
      <w:r>
        <w:rPr>
          <w:b/>
        </w:rPr>
        <w:t xml:space="preserve">5.3.1  </w:t>
      </w:r>
      <w:r>
        <w:t>Regulatory Operations shall verify each submission date against the submission log before SR-1 is transmitted. Dates recited from memory, from slide decks, or from this plan’s illustrative entries are not acceptable; the log governs.</w:t>
      </w:r>
    </w:p>
    <w:p>
      <w:pPr>
        <w:pStyle w:val="Heading2"/>
      </w:pPr>
      <w:r>
        <w:t>5.4  Study procurement provisions</w:t>
      </w:r>
    </w:p>
    <w:p>
      <w:pPr>
        <w:spacing w:after="100"/>
        <w:ind w:left="461" w:hanging="461"/>
      </w:pPr>
      <w:r>
        <w:rPr>
          <w:b/>
        </w:rPr>
        <w:t xml:space="preserve">5.4.1  </w:t>
      </w:r>
      <w:r>
        <w:t>No cynomolgus study slot shall be contracted before SR-4 is filed, and no dog study shall be contracted as a hold cure at all (4.4.2). Nonclinical may pursue a dog study on independent programme grounds, provided no internal or external document represents it as responsive to this hold.</w:t>
      </w:r>
    </w:p>
    <w:p>
      <w:pPr>
        <w:spacing w:after="100"/>
        <w:ind w:left="461" w:hanging="461"/>
      </w:pPr>
      <w:r>
        <w:rPr>
          <w:b/>
        </w:rPr>
        <w:t xml:space="preserve">5.4.2  </w:t>
      </w:r>
      <w:r>
        <w:t>Vendor capacity is a sponsor problem, not a regulatory one. The April capacity notice recorded in NONCLIN-MINUTES-2025-04-08 does not alter Article 4. Where no qualified GLP cynomolgus intrathecal capacity exists on the desired timeline, the consequence is a later SR-1, not a different study (Article 11).</w:t>
      </w:r>
    </w:p>
    <w:p>
      <w:pPr>
        <w:spacing w:after="100"/>
        <w:ind w:left="461" w:hanging="461"/>
      </w:pPr>
      <w:r>
        <w:rPr>
          <w:b/>
        </w:rPr>
        <w:t xml:space="preserve">5.4.3  </w:t>
      </w:r>
      <w:r>
        <w:t>The cynomolgus study design shall include neurobehavioural / functional assessment adequate to address the concern the letter states. The letter does not prescribe endpoints; the concern it recites is adverse effects of PrP reduction on neurobehavioural function, and a design silent on that concern answers the words of the requirement while missing its subject.</w:t>
      </w:r>
      <w:r>
        <w:t xml:space="preserve"> </w:t>
      </w:r>
      <w:r>
        <w:rPr>
          <w:i/>
        </w:rPr>
        <w:t>[LETTER SILENT — SPONSOR DETERMINATION.]</w:t>
      </w:r>
    </w:p>
    <w:p>
      <w:pPr>
        <w:pStyle w:val="Heading2"/>
      </w:pPr>
      <w:r>
        <w:t>5.5  Transmission mechanics</w:t>
      </w:r>
    </w:p>
    <w:p>
      <w:r>
        <w:rPr>
          <w:b w:val="0"/>
          <w:i w:val="0"/>
        </w:rPr>
        <w:t>IND 167326 is not in eCTD format: the cover letter of record states that the submission is made via the Research IND Application Builder within the CDER NextGen Portal and that eCTD is not used. The letter’s conditional mechanics therefore resolve to the non-eCTD branch throughout.</w:t>
      </w:r>
    </w:p>
    <w:tbl>
      <w:tblPr>
        <w:tblStyle w:val="TableGrid"/>
        <w:tblW w:type="auto" w:w="0"/>
        <w:jc w:val="center"/>
        <w:tblLook w:firstColumn="1" w:firstRow="1" w:lastColumn="0" w:lastRow="0" w:noHBand="0" w:noVBand="1" w:val="04A0"/>
      </w:tblPr>
      <w:tblGrid>
        <w:gridCol w:w="3216"/>
        <w:gridCol w:w="3216"/>
        <w:gridCol w:w="3216"/>
      </w:tblGrid>
      <w:tr>
        <w:trPr>
          <w:tblHeader/>
        </w:trPr>
        <w:tc>
          <w:tcPr>
            <w:tcW w:type="dxa" w:w="1872"/>
            <w:shd w:val="clear" w:color="auto" w:fill="1F3B57"/>
          </w:tcPr>
          <w:p>
            <w:pPr>
              <w:spacing w:after="40" w:before="40" w:line="240" w:lineRule="auto"/>
            </w:pPr>
            <w:r>
              <w:rPr>
                <w:color w:val="FFFFFF"/>
              </w:rPr>
            </w:r>
            <w:r>
              <w:rPr>
                <w:b/>
                <w:i w:val="0"/>
                <w:color w:val="FFFFFF"/>
                <w:sz w:val="18"/>
              </w:rPr>
              <w:t>Item</w:t>
            </w:r>
          </w:p>
        </w:tc>
        <w:tc>
          <w:tcPr>
            <w:tcW w:type="dxa" w:w="5904"/>
            <w:shd w:val="clear" w:color="auto" w:fill="1F3B57"/>
          </w:tcPr>
          <w:p>
            <w:pPr>
              <w:spacing w:after="40" w:before="40" w:line="240" w:lineRule="auto"/>
            </w:pPr>
            <w:r>
              <w:rPr>
                <w:color w:val="FFFFFF"/>
              </w:rPr>
            </w:r>
            <w:r>
              <w:rPr>
                <w:b/>
                <w:i w:val="0"/>
                <w:color w:val="FFFFFF"/>
                <w:sz w:val="18"/>
              </w:rPr>
              <w:t>Provision</w:t>
            </w:r>
          </w:p>
        </w:tc>
        <w:tc>
          <w:tcPr>
            <w:tcW w:type="dxa" w:w="2016"/>
            <w:shd w:val="clear" w:color="auto" w:fill="1F3B57"/>
          </w:tcPr>
          <w:p>
            <w:pPr>
              <w:spacing w:after="40" w:before="40" w:line="240" w:lineRule="auto"/>
            </w:pPr>
            <w:r>
              <w:rPr>
                <w:color w:val="FFFFFF"/>
              </w:rPr>
            </w:r>
            <w:r>
              <w:rPr>
                <w:b/>
                <w:i w:val="0"/>
                <w:color w:val="FFFFFF"/>
                <w:sz w:val="18"/>
              </w:rPr>
              <w:t>Source</w:t>
            </w:r>
          </w:p>
        </w:tc>
      </w:tr>
      <w:tr>
        <w:tc>
          <w:tcPr>
            <w:tcW w:type="dxa" w:w="1872"/>
          </w:tcPr>
          <w:p>
            <w:pPr>
              <w:spacing w:after="40" w:before="40" w:line="240" w:lineRule="auto"/>
            </w:pPr>
            <w:r/>
            <w:r>
              <w:rPr>
                <w:b w:val="0"/>
                <w:i w:val="0"/>
                <w:sz w:val="18"/>
              </w:rPr>
              <w:t>Primary channel for SR-1 through SR-6</w:t>
            </w:r>
          </w:p>
        </w:tc>
        <w:tc>
          <w:tcPr>
            <w:tcW w:type="dxa" w:w="5904"/>
          </w:tcPr>
          <w:p>
            <w:pPr>
              <w:spacing w:after="40" w:before="40" w:line="240" w:lineRule="auto"/>
            </w:pPr>
            <w:r/>
            <w:r>
              <w:rPr>
                <w:b w:val="0"/>
                <w:i w:val="0"/>
                <w:sz w:val="18"/>
              </w:rPr>
              <w:t>CDER NextGen Portal (Research IND Application Builder), the channel of record for this IND. An account is required to log in and use the portal.</w:t>
            </w:r>
          </w:p>
        </w:tc>
        <w:tc>
          <w:tcPr>
            <w:tcW w:type="dxa" w:w="2016"/>
          </w:tcPr>
          <w:p>
            <w:pPr>
              <w:spacing w:after="40" w:before="40" w:line="240" w:lineRule="auto"/>
            </w:pPr>
            <w:r/>
            <w:r>
              <w:rPr>
                <w:b w:val="0"/>
                <w:i w:val="0"/>
                <w:sz w:val="18"/>
              </w:rPr>
              <w:t>FIXED BY LETTER (non-eCTD amendments may be submitted via the NextGen Portal) + IND cover letter of record.</w:t>
            </w:r>
          </w:p>
        </w:tc>
      </w:tr>
      <w:tr>
        <w:tc>
          <w:tcPr>
            <w:tcW w:type="dxa" w:w="1872"/>
            <w:shd w:val="clear" w:color="auto" w:fill="F2F5F8"/>
          </w:tcPr>
          <w:p>
            <w:pPr>
              <w:spacing w:after="40" w:before="40" w:line="240" w:lineRule="auto"/>
            </w:pPr>
            <w:r/>
            <w:r>
              <w:rPr>
                <w:b w:val="0"/>
                <w:i w:val="0"/>
                <w:sz w:val="18"/>
              </w:rPr>
              <w:t>Paper / physical media alternative</w:t>
            </w:r>
          </w:p>
        </w:tc>
        <w:tc>
          <w:tcPr>
            <w:tcW w:type="dxa" w:w="5904"/>
            <w:shd w:val="clear" w:color="auto" w:fill="F2F5F8"/>
          </w:tcPr>
          <w:p>
            <w:pPr>
              <w:spacing w:after="40" w:before="40" w:line="240" w:lineRule="auto"/>
            </w:pPr>
            <w:r/>
            <w:r>
              <w:rPr>
                <w:b w:val="0"/>
                <w:i w:val="0"/>
                <w:sz w:val="18"/>
              </w:rPr>
              <w:t>Food and Drug Administration, Center for Drug Evaluation and Research, Central Document Room, 5901-B Ammendale Road, Beltsville, MD 20705-1266. Physical media are accepted (e.g. CDs, DVDs up to 6 pieces, external hard drives); a printed copy of the cover letter must accompany media submissions. Paper must be three-hole punched on the left, bound, with a left margin of at least three-fourths of an inch, on 8-1/2 × 11 inch stock; non-standard large pages folded and mounted. Unbound shipments risk loss of portions of the submission and processing delay.</w:t>
            </w:r>
          </w:p>
        </w:tc>
        <w:tc>
          <w:tcPr>
            <w:tcW w:type="dxa" w:w="2016"/>
            <w:shd w:val="clear" w:color="auto" w:fill="F2F5F8"/>
          </w:tcPr>
          <w:p>
            <w:pPr>
              <w:spacing w:after="40" w:before="40" w:line="240" w:lineRule="auto"/>
            </w:pPr>
            <w:r/>
            <w:r>
              <w:rPr>
                <w:b w:val="0"/>
                <w:i w:val="0"/>
                <w:sz w:val="18"/>
              </w:rPr>
              <w:t>FIXED BY LETTER</w:t>
            </w:r>
          </w:p>
        </w:tc>
      </w:tr>
      <w:tr>
        <w:tc>
          <w:tcPr>
            <w:tcW w:type="dxa" w:w="1872"/>
          </w:tcPr>
          <w:p>
            <w:pPr>
              <w:spacing w:after="40" w:before="40" w:line="240" w:lineRule="auto"/>
            </w:pPr>
            <w:r/>
            <w:r>
              <w:rPr>
                <w:b w:val="0"/>
                <w:i w:val="0"/>
                <w:sz w:val="18"/>
              </w:rPr>
              <w:t>First-page citation</w:t>
            </w:r>
          </w:p>
        </w:tc>
        <w:tc>
          <w:tcPr>
            <w:tcW w:type="dxa" w:w="5904"/>
          </w:tcPr>
          <w:p>
            <w:pPr>
              <w:spacing w:after="40" w:before="40" w:line="240" w:lineRule="auto"/>
            </w:pPr>
            <w:r/>
            <w:r>
              <w:rPr>
                <w:b w:val="0"/>
                <w:i w:val="0"/>
                <w:sz w:val="18"/>
              </w:rPr>
              <w:t>Cite IND 167326 at the top of the first page of every communication concerning this application, without exception, including cover letters, safety reports and correspondence.</w:t>
            </w:r>
          </w:p>
        </w:tc>
        <w:tc>
          <w:tcPr>
            <w:tcW w:type="dxa" w:w="2016"/>
          </w:tcPr>
          <w:p>
            <w:pPr>
              <w:spacing w:after="40" w:before="40" w:line="240" w:lineRule="auto"/>
            </w:pPr>
            <w:r/>
            <w:r>
              <w:rPr>
                <w:b w:val="0"/>
                <w:i w:val="0"/>
                <w:sz w:val="18"/>
              </w:rPr>
              <w:t>FIXED BY LETTER</w:t>
            </w:r>
          </w:p>
        </w:tc>
      </w:tr>
      <w:tr>
        <w:tc>
          <w:tcPr>
            <w:tcW w:type="dxa" w:w="1872"/>
            <w:shd w:val="clear" w:color="auto" w:fill="F2F5F8"/>
          </w:tcPr>
          <w:p>
            <w:pPr>
              <w:spacing w:after="40" w:before="40" w:line="240" w:lineRule="auto"/>
            </w:pPr>
            <w:r/>
            <w:r>
              <w:rPr>
                <w:b w:val="0"/>
                <w:i w:val="0"/>
                <w:sz w:val="18"/>
              </w:rPr>
              <w:t>ESG</w:t>
            </w:r>
          </w:p>
        </w:tc>
        <w:tc>
          <w:tcPr>
            <w:tcW w:type="dxa" w:w="5904"/>
            <w:shd w:val="clear" w:color="auto" w:fill="F2F5F8"/>
          </w:tcPr>
          <w:p>
            <w:pPr>
              <w:spacing w:after="40" w:before="40" w:line="240" w:lineRule="auto"/>
            </w:pPr>
            <w:r/>
            <w:r>
              <w:rPr>
                <w:b w:val="0"/>
                <w:i w:val="0"/>
                <w:sz w:val="18"/>
              </w:rPr>
              <w:t>Not applicable while the IND remains non-eCTD. If the IND is ever converted to eCTD, an ESG account is required and 7-day and 15-day reports must then be submitted electronically in eCTD format via ESG.</w:t>
            </w:r>
          </w:p>
        </w:tc>
        <w:tc>
          <w:tcPr>
            <w:tcW w:type="dxa" w:w="2016"/>
            <w:shd w:val="clear" w:color="auto" w:fill="F2F5F8"/>
          </w:tcPr>
          <w:p>
            <w:pPr>
              <w:spacing w:after="40" w:before="40" w:line="240" w:lineRule="auto"/>
            </w:pPr>
            <w:r/>
            <w:r>
              <w:rPr>
                <w:b w:val="0"/>
                <w:i w:val="0"/>
                <w:sz w:val="18"/>
              </w:rPr>
              <w:t>FIXED BY LETTER</w:t>
            </w:r>
          </w:p>
        </w:tc>
      </w:tr>
      <w:tr>
        <w:tc>
          <w:tcPr>
            <w:tcW w:type="dxa" w:w="1872"/>
          </w:tcPr>
          <w:p>
            <w:pPr>
              <w:spacing w:after="40" w:before="40" w:line="240" w:lineRule="auto"/>
            </w:pPr>
            <w:r/>
            <w:r>
              <w:rPr>
                <w:b w:val="0"/>
                <w:i w:val="0"/>
                <w:sz w:val="18"/>
              </w:rPr>
              <w:t>Secure email</w:t>
            </w:r>
          </w:p>
        </w:tc>
        <w:tc>
          <w:tcPr>
            <w:tcW w:type="dxa" w:w="5904"/>
          </w:tcPr>
          <w:p>
            <w:pPr>
              <w:spacing w:after="40" w:before="40" w:line="240" w:lineRule="auto"/>
            </w:pPr>
            <w:r/>
            <w:r>
              <w:rPr>
                <w:b w:val="0"/>
                <w:i w:val="0"/>
                <w:sz w:val="18"/>
              </w:rPr>
              <w:t>Required to receive confidential communications from FDA (information requests, courtesy copies of letters); established by emailed request to the address given in the letter. Secure email may NOT be used for formal regulatory submissions, with the single exception of 7-day safety reports for INDs not in eCTD format — an exception that does apply to this IND.</w:t>
            </w:r>
          </w:p>
        </w:tc>
        <w:tc>
          <w:tcPr>
            <w:tcW w:type="dxa" w:w="2016"/>
          </w:tcPr>
          <w:p>
            <w:pPr>
              <w:spacing w:after="40" w:before="40" w:line="240" w:lineRule="auto"/>
            </w:pPr>
            <w:r/>
            <w:r>
              <w:rPr>
                <w:b w:val="0"/>
                <w:i w:val="0"/>
                <w:sz w:val="18"/>
              </w:rPr>
              <w:t>FIXED BY LETTER (R-16)</w:t>
            </w:r>
          </w:p>
        </w:tc>
      </w:tr>
      <w:tr>
        <w:tc>
          <w:tcPr>
            <w:tcW w:type="dxa" w:w="1872"/>
            <w:shd w:val="clear" w:color="auto" w:fill="F2F5F8"/>
          </w:tcPr>
          <w:p>
            <w:pPr>
              <w:spacing w:after="40" w:before="40" w:line="240" w:lineRule="auto"/>
            </w:pPr>
            <w:r/>
            <w:r>
              <w:rPr>
                <w:b w:val="0"/>
                <w:i w:val="0"/>
                <w:sz w:val="18"/>
              </w:rPr>
              <w:t>Agency contact routing</w:t>
            </w:r>
          </w:p>
        </w:tc>
        <w:tc>
          <w:tcPr>
            <w:tcW w:type="dxa" w:w="5904"/>
            <w:shd w:val="clear" w:color="auto" w:fill="F2F5F8"/>
          </w:tcPr>
          <w:p>
            <w:pPr>
              <w:spacing w:after="40" w:before="40" w:line="240" w:lineRule="auto"/>
            </w:pPr>
            <w:r/>
            <w:r>
              <w:rPr>
                <w:b w:val="0"/>
                <w:i w:val="0"/>
                <w:sz w:val="18"/>
              </w:rPr>
              <w:t>Regulatory Health Project Manager Brenda Reggettz, PharmD, (240) 402-6220. Email addresses for the RPM and for the secure-email request are redacted in the served copy of the letter; Regulatory Operations shall obtain and log them before any email-dependent step is scheduled.</w:t>
            </w:r>
          </w:p>
        </w:tc>
        <w:tc>
          <w:tcPr>
            <w:tcW w:type="dxa" w:w="2016"/>
            <w:shd w:val="clear" w:color="auto" w:fill="F2F5F8"/>
          </w:tcPr>
          <w:p>
            <w:pPr>
              <w:spacing w:after="40" w:before="40" w:line="240" w:lineRule="auto"/>
            </w:pPr>
            <w:r/>
            <w:r>
              <w:rPr>
                <w:b w:val="0"/>
                <w:i w:val="0"/>
                <w:sz w:val="18"/>
              </w:rPr>
              <w:t>FIXED BY LETTER (R-17), with a documented gap</w:t>
            </w:r>
          </w:p>
        </w:tc>
      </w:tr>
    </w:tbl>
    <w:p>
      <w:pPr>
        <w:spacing w:after="40"/>
      </w:pPr>
    </w:p>
    <w:p>
      <w:pPr>
        <w:spacing w:after="100"/>
        <w:ind w:left="461" w:hanging="461"/>
      </w:pPr>
      <w:r>
        <w:rPr>
          <w:b/>
        </w:rPr>
        <w:t xml:space="preserve">5.5.1  </w:t>
      </w:r>
      <w:r>
        <w:t>No submission listed in this Article may be transmitted by secure email, ordinary email, or to an individual reviewer, except a 7-day safety report as expressly permitted above.</w:t>
      </w:r>
    </w:p>
    <w:p>
      <w:r>
        <w:br w:type="page"/>
      </w:r>
    </w:p>
    <w:p>
      <w:pPr>
        <w:pStyle w:val="Heading1"/>
      </w:pPr>
      <w:r>
        <w:t>Article 6 — Resumption gate for the presymptomatic protocol</w:t>
      </w:r>
    </w:p>
    <w:p>
      <w:pPr>
        <w:pStyle w:val="Heading2"/>
      </w:pPr>
      <w:r>
        <w:t>6.1  Conditions precedent (cumulative and conjunctive)</w:t>
      </w:r>
    </w:p>
    <w:p>
      <w:r>
        <w:rPr>
          <w:b w:val="0"/>
          <w:i w:val="0"/>
        </w:rPr>
        <w:t>All of the following must be satisfied, in order, before any activity prohibited under 3.1 may occur. No condition may be waived internally.</w:t>
      </w:r>
    </w:p>
    <w:tbl>
      <w:tblPr>
        <w:tblStyle w:val="TableGrid"/>
        <w:tblW w:type="auto" w:w="0"/>
        <w:jc w:val="center"/>
        <w:tblLook w:firstColumn="1" w:firstRow="1" w:lastColumn="0" w:lastRow="0" w:noHBand="0" w:noVBand="1" w:val="04A0"/>
      </w:tblPr>
      <w:tblGrid>
        <w:gridCol w:w="2412"/>
        <w:gridCol w:w="2412"/>
        <w:gridCol w:w="2412"/>
        <w:gridCol w:w="2412"/>
      </w:tblGrid>
      <w:tr>
        <w:trPr>
          <w:tblHeader/>
        </w:trPr>
        <w:tc>
          <w:tcPr>
            <w:tcW w:type="dxa" w:w="648"/>
            <w:shd w:val="clear" w:color="auto" w:fill="1F3B57"/>
          </w:tcPr>
          <w:p>
            <w:pPr>
              <w:spacing w:after="40" w:before="40" w:line="240" w:lineRule="auto"/>
            </w:pPr>
            <w:r>
              <w:rPr>
                <w:color w:val="FFFFFF"/>
              </w:rPr>
            </w:r>
            <w:r>
              <w:rPr>
                <w:b/>
                <w:i w:val="0"/>
                <w:color w:val="FFFFFF"/>
                <w:sz w:val="18"/>
              </w:rPr>
              <w:t>Gate</w:t>
            </w:r>
          </w:p>
        </w:tc>
        <w:tc>
          <w:tcPr>
            <w:tcW w:type="dxa" w:w="3384"/>
            <w:shd w:val="clear" w:color="auto" w:fill="1F3B57"/>
          </w:tcPr>
          <w:p>
            <w:pPr>
              <w:spacing w:after="40" w:before="40" w:line="240" w:lineRule="auto"/>
            </w:pPr>
            <w:r>
              <w:rPr>
                <w:color w:val="FFFFFF"/>
              </w:rPr>
            </w:r>
            <w:r>
              <w:rPr>
                <w:b/>
                <w:i w:val="0"/>
                <w:color w:val="FFFFFF"/>
                <w:sz w:val="18"/>
              </w:rPr>
              <w:t>Condition</w:t>
            </w:r>
          </w:p>
        </w:tc>
        <w:tc>
          <w:tcPr>
            <w:tcW w:type="dxa" w:w="3096"/>
            <w:shd w:val="clear" w:color="auto" w:fill="1F3B57"/>
          </w:tcPr>
          <w:p>
            <w:pPr>
              <w:spacing w:after="40" w:before="40" w:line="240" w:lineRule="auto"/>
            </w:pPr>
            <w:r>
              <w:rPr>
                <w:color w:val="FFFFFF"/>
              </w:rPr>
            </w:r>
            <w:r>
              <w:rPr>
                <w:b/>
                <w:i w:val="0"/>
                <w:color w:val="FFFFFF"/>
                <w:sz w:val="18"/>
              </w:rPr>
              <w:t>Evidence to be filed in the regulatory record</w:t>
            </w:r>
          </w:p>
        </w:tc>
        <w:tc>
          <w:tcPr>
            <w:tcW w:type="dxa" w:w="2664"/>
            <w:shd w:val="clear" w:color="auto" w:fill="1F3B57"/>
          </w:tcPr>
          <w:p>
            <w:pPr>
              <w:spacing w:after="40" w:before="40" w:line="240" w:lineRule="auto"/>
            </w:pPr>
            <w:r>
              <w:rPr>
                <w:color w:val="FFFFFF"/>
              </w:rPr>
            </w:r>
            <w:r>
              <w:rPr>
                <w:b/>
                <w:i w:val="0"/>
                <w:color w:val="FFFFFF"/>
                <w:sz w:val="18"/>
              </w:rPr>
              <w:t>Source</w:t>
            </w:r>
          </w:p>
        </w:tc>
      </w:tr>
      <w:tr>
        <w:tc>
          <w:tcPr>
            <w:tcW w:type="dxa" w:w="648"/>
          </w:tcPr>
          <w:p>
            <w:pPr>
              <w:spacing w:after="40" w:before="40" w:line="240" w:lineRule="auto"/>
            </w:pPr>
            <w:r/>
            <w:r>
              <w:rPr>
                <w:b w:val="0"/>
                <w:i w:val="0"/>
                <w:sz w:val="18"/>
              </w:rPr>
              <w:t>G-1</w:t>
            </w:r>
          </w:p>
        </w:tc>
        <w:tc>
          <w:tcPr>
            <w:tcW w:type="dxa" w:w="3384"/>
          </w:tcPr>
          <w:p>
            <w:pPr>
              <w:spacing w:after="40" w:before="40" w:line="240" w:lineRule="auto"/>
            </w:pPr>
            <w:r/>
            <w:r>
              <w:rPr>
                <w:b w:val="0"/>
                <w:i w:val="0"/>
                <w:sz w:val="18"/>
              </w:rPr>
              <w:t>The required information has been submitted to FDA — that is, SR-1, containing the final GLP cynomolgus intrathecal toxicity study report meeting Article 4, has been transmitted.</w:t>
            </w:r>
          </w:p>
        </w:tc>
        <w:tc>
          <w:tcPr>
            <w:tcW w:type="dxa" w:w="3096"/>
          </w:tcPr>
          <w:p>
            <w:pPr>
              <w:spacing w:after="40" w:before="40" w:line="240" w:lineRule="auto"/>
            </w:pPr>
            <w:r/>
            <w:r>
              <w:rPr>
                <w:b w:val="0"/>
                <w:i w:val="0"/>
                <w:sz w:val="18"/>
              </w:rPr>
              <w:t>Transmission confirmation and acknowledgement of receipt.</w:t>
            </w:r>
          </w:p>
        </w:tc>
        <w:tc>
          <w:tcPr>
            <w:tcW w:type="dxa" w:w="2664"/>
          </w:tcPr>
          <w:p>
            <w:pPr>
              <w:spacing w:after="40" w:before="40" w:line="240" w:lineRule="auto"/>
            </w:pPr>
            <w:r/>
            <w:r>
              <w:rPr>
                <w:b w:val="0"/>
                <w:i w:val="0"/>
                <w:sz w:val="18"/>
              </w:rPr>
              <w:t>FIXED BY LETTER (R-9)</w:t>
            </w:r>
          </w:p>
        </w:tc>
      </w:tr>
      <w:tr>
        <w:tc>
          <w:tcPr>
            <w:tcW w:type="dxa" w:w="648"/>
            <w:shd w:val="clear" w:color="auto" w:fill="F2F5F8"/>
          </w:tcPr>
          <w:p>
            <w:pPr>
              <w:spacing w:after="40" w:before="40" w:line="240" w:lineRule="auto"/>
            </w:pPr>
            <w:r/>
            <w:r>
              <w:rPr>
                <w:b w:val="0"/>
                <w:i w:val="0"/>
                <w:sz w:val="18"/>
              </w:rPr>
              <w:t>G-2</w:t>
            </w:r>
          </w:p>
        </w:tc>
        <w:tc>
          <w:tcPr>
            <w:tcW w:type="dxa" w:w="3384"/>
            <w:shd w:val="clear" w:color="auto" w:fill="F2F5F8"/>
          </w:tcPr>
          <w:p>
            <w:pPr>
              <w:spacing w:after="40" w:before="40" w:line="240" w:lineRule="auto"/>
            </w:pPr>
            <w:r/>
            <w:r>
              <w:rPr>
                <w:b w:val="0"/>
                <w:i w:val="0"/>
                <w:sz w:val="18"/>
              </w:rPr>
              <w:t>FDA has notified the sponsor that the sponsor may initiate the held study.</w:t>
            </w:r>
          </w:p>
        </w:tc>
        <w:tc>
          <w:tcPr>
            <w:tcW w:type="dxa" w:w="3096"/>
            <w:shd w:val="clear" w:color="auto" w:fill="F2F5F8"/>
          </w:tcPr>
          <w:p>
            <w:pPr>
              <w:spacing w:after="40" w:before="40" w:line="240" w:lineRule="auto"/>
            </w:pPr>
            <w:r/>
            <w:r>
              <w:rPr>
                <w:b w:val="0"/>
                <w:i w:val="0"/>
                <w:sz w:val="18"/>
              </w:rPr>
              <w:t>The Agency’s written notification, logged with its date of receipt.</w:t>
            </w:r>
          </w:p>
        </w:tc>
        <w:tc>
          <w:tcPr>
            <w:tcW w:type="dxa" w:w="2664"/>
            <w:shd w:val="clear" w:color="auto" w:fill="F2F5F8"/>
          </w:tcPr>
          <w:p>
            <w:pPr>
              <w:spacing w:after="40" w:before="40" w:line="240" w:lineRule="auto"/>
            </w:pPr>
            <w:r/>
            <w:r>
              <w:rPr>
                <w:b w:val="0"/>
                <w:i w:val="0"/>
                <w:sz w:val="18"/>
              </w:rPr>
              <w:t>FIXED BY LETTER (R-9)</w:t>
            </w:r>
          </w:p>
        </w:tc>
      </w:tr>
      <w:tr>
        <w:tc>
          <w:tcPr>
            <w:tcW w:type="dxa" w:w="648"/>
          </w:tcPr>
          <w:p>
            <w:pPr>
              <w:spacing w:after="40" w:before="40" w:line="240" w:lineRule="auto"/>
            </w:pPr>
            <w:r/>
            <w:r>
              <w:rPr>
                <w:b w:val="0"/>
                <w:i w:val="0"/>
                <w:sz w:val="18"/>
              </w:rPr>
              <w:t>G-3</w:t>
            </w:r>
          </w:p>
        </w:tc>
        <w:tc>
          <w:tcPr>
            <w:tcW w:type="dxa" w:w="3384"/>
          </w:tcPr>
          <w:p>
            <w:pPr>
              <w:spacing w:after="40" w:before="40" w:line="240" w:lineRule="auto"/>
            </w:pPr>
            <w:r/>
            <w:r>
              <w:rPr>
                <w:b w:val="0"/>
                <w:i w:val="0"/>
                <w:sz w:val="18"/>
              </w:rPr>
              <w:t>The notification has been read against this plan and confirmed to authorise initiation of the presymptomatic protocol specifically, and to impose no conditions that remain unmet.</w:t>
            </w:r>
          </w:p>
        </w:tc>
        <w:tc>
          <w:tcPr>
            <w:tcW w:type="dxa" w:w="3096"/>
          </w:tcPr>
          <w:p>
            <w:pPr>
              <w:spacing w:after="40" w:before="40" w:line="240" w:lineRule="auto"/>
            </w:pPr>
            <w:r/>
            <w:r>
              <w:rPr>
                <w:b w:val="0"/>
                <w:i w:val="0"/>
                <w:sz w:val="18"/>
              </w:rPr>
              <w:t>Signed adjudication memorandum by Regulatory Operations.</w:t>
            </w:r>
          </w:p>
        </w:tc>
        <w:tc>
          <w:tcPr>
            <w:tcW w:type="dxa" w:w="2664"/>
          </w:tcPr>
          <w:p>
            <w:pPr>
              <w:spacing w:after="40" w:before="40" w:line="240" w:lineRule="auto"/>
            </w:pPr>
            <w:r/>
            <w:r>
              <w:rPr>
                <w:b w:val="0"/>
                <w:i w:val="0"/>
                <w:sz w:val="18"/>
              </w:rPr>
              <w:t>LETTER SILENT — SPONSOR DETERMINATION</w:t>
            </w:r>
          </w:p>
        </w:tc>
      </w:tr>
      <w:tr>
        <w:tc>
          <w:tcPr>
            <w:tcW w:type="dxa" w:w="648"/>
            <w:shd w:val="clear" w:color="auto" w:fill="F2F5F8"/>
          </w:tcPr>
          <w:p>
            <w:pPr>
              <w:spacing w:after="40" w:before="40" w:line="240" w:lineRule="auto"/>
            </w:pPr>
            <w:r/>
            <w:r>
              <w:rPr>
                <w:b w:val="0"/>
                <w:i w:val="0"/>
                <w:sz w:val="18"/>
              </w:rPr>
              <w:t>G-4</w:t>
            </w:r>
          </w:p>
        </w:tc>
        <w:tc>
          <w:tcPr>
            <w:tcW w:type="dxa" w:w="3384"/>
            <w:shd w:val="clear" w:color="auto" w:fill="F2F5F8"/>
          </w:tcPr>
          <w:p>
            <w:pPr>
              <w:spacing w:after="40" w:before="40" w:line="240" w:lineRule="auto"/>
            </w:pPr>
            <w:r/>
            <w:r>
              <w:rPr>
                <w:b w:val="0"/>
                <w:i w:val="0"/>
                <w:sz w:val="18"/>
              </w:rPr>
              <w:t>The presymptomatic protocol of record has been conformed to any changes required or implied by the cynomolgus findings and by the Agency’s notification, and the Investigator’s Brochure has been updated accordingly.</w:t>
            </w:r>
          </w:p>
        </w:tc>
        <w:tc>
          <w:tcPr>
            <w:tcW w:type="dxa" w:w="3096"/>
            <w:shd w:val="clear" w:color="auto" w:fill="F2F5F8"/>
          </w:tcPr>
          <w:p>
            <w:pPr>
              <w:spacing w:after="40" w:before="40" w:line="240" w:lineRule="auto"/>
            </w:pPr>
            <w:r/>
            <w:r>
              <w:rPr>
                <w:b w:val="0"/>
                <w:i w:val="0"/>
                <w:sz w:val="18"/>
              </w:rPr>
              <w:t>Protocol amendment serial and IB version, filed.</w:t>
            </w:r>
          </w:p>
        </w:tc>
        <w:tc>
          <w:tcPr>
            <w:tcW w:type="dxa" w:w="2664"/>
            <w:shd w:val="clear" w:color="auto" w:fill="F2F5F8"/>
          </w:tcPr>
          <w:p>
            <w:pPr>
              <w:spacing w:after="40" w:before="40" w:line="240" w:lineRule="auto"/>
            </w:pPr>
            <w:r/>
            <w:r>
              <w:rPr>
                <w:b w:val="0"/>
                <w:i w:val="0"/>
                <w:sz w:val="18"/>
              </w:rPr>
              <w:t>LETTER SILENT — SPONSOR DETERMINATION</w:t>
            </w:r>
          </w:p>
        </w:tc>
      </w:tr>
      <w:tr>
        <w:tc>
          <w:tcPr>
            <w:tcW w:type="dxa" w:w="648"/>
          </w:tcPr>
          <w:p>
            <w:pPr>
              <w:spacing w:after="40" w:before="40" w:line="240" w:lineRule="auto"/>
            </w:pPr>
            <w:r/>
            <w:r>
              <w:rPr>
                <w:b w:val="0"/>
                <w:i w:val="0"/>
                <w:sz w:val="18"/>
              </w:rPr>
              <w:t>G-5</w:t>
            </w:r>
          </w:p>
        </w:tc>
        <w:tc>
          <w:tcPr>
            <w:tcW w:type="dxa" w:w="3384"/>
          </w:tcPr>
          <w:p>
            <w:pPr>
              <w:spacing w:after="40" w:before="40" w:line="240" w:lineRule="auto"/>
            </w:pPr>
            <w:r/>
            <w:r>
              <w:rPr>
                <w:b w:val="0"/>
                <w:i w:val="0"/>
                <w:sz w:val="18"/>
              </w:rPr>
              <w:t>IRB approval for the presymptomatic protocol is current for the version to be initiated, and Form FDA 1572 and financial disclosure are current for each investigator.</w:t>
            </w:r>
          </w:p>
        </w:tc>
        <w:tc>
          <w:tcPr>
            <w:tcW w:type="dxa" w:w="3096"/>
          </w:tcPr>
          <w:p>
            <w:pPr>
              <w:spacing w:after="40" w:before="40" w:line="240" w:lineRule="auto"/>
            </w:pPr>
            <w:r/>
            <w:r>
              <w:rPr>
                <w:b w:val="0"/>
                <w:i w:val="0"/>
                <w:sz w:val="18"/>
              </w:rPr>
              <w:t>IRB approval letter; executed 1572s.</w:t>
            </w:r>
          </w:p>
        </w:tc>
        <w:tc>
          <w:tcPr>
            <w:tcW w:type="dxa" w:w="2664"/>
          </w:tcPr>
          <w:p>
            <w:pPr>
              <w:spacing w:after="40" w:before="40" w:line="240" w:lineRule="auto"/>
            </w:pPr>
            <w:r/>
            <w:r>
              <w:rPr>
                <w:b w:val="0"/>
                <w:i w:val="0"/>
                <w:sz w:val="18"/>
              </w:rPr>
              <w:t>LETTER SILENT — SPONSOR DETERMINATION</w:t>
            </w:r>
          </w:p>
        </w:tc>
      </w:tr>
      <w:tr>
        <w:tc>
          <w:tcPr>
            <w:tcW w:type="dxa" w:w="648"/>
            <w:shd w:val="clear" w:color="auto" w:fill="F2F5F8"/>
          </w:tcPr>
          <w:p>
            <w:pPr>
              <w:spacing w:after="40" w:before="40" w:line="240" w:lineRule="auto"/>
            </w:pPr>
            <w:r/>
            <w:r>
              <w:rPr>
                <w:b w:val="0"/>
                <w:i w:val="0"/>
                <w:sz w:val="18"/>
              </w:rPr>
              <w:t>G-6</w:t>
            </w:r>
          </w:p>
        </w:tc>
        <w:tc>
          <w:tcPr>
            <w:tcW w:type="dxa" w:w="3384"/>
            <w:shd w:val="clear" w:color="auto" w:fill="F2F5F8"/>
          </w:tcPr>
          <w:p>
            <w:pPr>
              <w:spacing w:after="40" w:before="40" w:line="240" w:lineRule="auto"/>
            </w:pPr>
            <w:r/>
            <w:r>
              <w:rPr>
                <w:b w:val="0"/>
                <w:i w:val="0"/>
                <w:sz w:val="18"/>
              </w:rPr>
              <w:t>The protocol’s internal interlock is satisfied for the dose level to be studied (6.3).</w:t>
            </w:r>
          </w:p>
        </w:tc>
        <w:tc>
          <w:tcPr>
            <w:tcW w:type="dxa" w:w="3096"/>
            <w:shd w:val="clear" w:color="auto" w:fill="F2F5F8"/>
          </w:tcPr>
          <w:p>
            <w:pPr>
              <w:spacing w:after="40" w:before="40" w:line="240" w:lineRule="auto"/>
            </w:pPr>
            <w:r/>
            <w:r>
              <w:rPr>
                <w:b w:val="0"/>
                <w:i w:val="0"/>
                <w:sz w:val="18"/>
              </w:rPr>
              <w:t>Dosing log entry for the symptomatic sentinel at that dose level.</w:t>
            </w:r>
          </w:p>
        </w:tc>
        <w:tc>
          <w:tcPr>
            <w:tcW w:type="dxa" w:w="2664"/>
            <w:shd w:val="clear" w:color="auto" w:fill="F2F5F8"/>
          </w:tcPr>
          <w:p>
            <w:pPr>
              <w:spacing w:after="40" w:before="40" w:line="240" w:lineRule="auto"/>
            </w:pPr>
            <w:r/>
            <w:r>
              <w:rPr>
                <w:b w:val="0"/>
                <w:i w:val="0"/>
                <w:sz w:val="18"/>
              </w:rPr>
              <w:t>Protocol §5.1.5</w:t>
            </w:r>
          </w:p>
        </w:tc>
      </w:tr>
    </w:tbl>
    <w:p>
      <w:pPr>
        <w:spacing w:after="40"/>
      </w:pPr>
    </w:p>
    <w:p>
      <w:pPr>
        <w:pStyle w:val="Heading2"/>
      </w:pPr>
      <w:r>
        <w:t>6.2  What does not open the gate</w:t>
      </w:r>
    </w:p>
    <w:p>
      <w:pPr>
        <w:spacing w:after="100"/>
        <w:ind w:left="461" w:hanging="461"/>
      </w:pPr>
      <w:r>
        <w:rPr>
          <w:b/>
        </w:rPr>
        <w:t xml:space="preserve">6.2.1  </w:t>
      </w:r>
      <w:r>
        <w:t>The passage of 30 days after submission does not open the gate. The letter states that FDA will notify the sponsor of its decision within 30 days following receipt of a complete response; it does not provide that initiation becomes permissible if the Agency is silent. Section 3 of REGOPS-DRAFT-2025-04-09 — under which “dosing may commence 30 days following submission unless the Agency objects” — is void, and is the single most consequential error in the reviewed internal materials (Article 8, ruling A-3).</w:t>
      </w:r>
      <w:r>
        <w:t xml:space="preserve"> </w:t>
      </w:r>
      <w:r>
        <w:rPr>
          <w:i/>
        </w:rPr>
        <w:t>[FIXED BY LETTER — R-9, R-12.]</w:t>
      </w:r>
    </w:p>
    <w:p>
      <w:pPr>
        <w:spacing w:after="100"/>
        <w:ind w:left="461" w:hanging="461"/>
      </w:pPr>
      <w:r>
        <w:rPr>
          <w:b/>
        </w:rPr>
        <w:t xml:space="preserve">6.2.2  </w:t>
      </w:r>
      <w:r>
        <w:t>Submission of SR-1 alone does not open the gate. R-9 is conjunctive: submitted information AND Agency notification.</w:t>
      </w:r>
    </w:p>
    <w:p>
      <w:pPr>
        <w:spacing w:after="100"/>
        <w:ind w:left="461" w:hanging="461"/>
      </w:pPr>
      <w:r>
        <w:rPr>
          <w:b/>
        </w:rPr>
        <w:t xml:space="preserve">6.2.3  </w:t>
      </w:r>
      <w:r>
        <w:t>An FDA acknowledgement of receipt, a filing receipt, an information request, or an informal oral encouragement from any Agency staff member is not the notification required by G-2. Only a written Agency communication stating that the sponsor may initiate the study satisfies G-2.</w:t>
      </w:r>
    </w:p>
    <w:p>
      <w:pPr>
        <w:spacing w:after="100"/>
        <w:ind w:left="461" w:hanging="461"/>
      </w:pPr>
      <w:r>
        <w:rPr>
          <w:b/>
        </w:rPr>
        <w:t xml:space="preserve">6.2.4  </w:t>
      </w:r>
      <w:r>
        <w:t>Favourable interim cynomolgus data do not open the gate, in whole or in part. There is no partial resumption and no sentinel exception under the hold.</w:t>
      </w:r>
    </w:p>
    <w:p>
      <w:pPr>
        <w:spacing w:after="100"/>
        <w:ind w:left="461" w:hanging="461"/>
      </w:pPr>
      <w:r>
        <w:rPr>
          <w:b/>
        </w:rPr>
        <w:t xml:space="preserve">6.2.5  </w:t>
      </w:r>
      <w:r>
        <w:t>Nothing in the Division’s statement that it has “no specific comments at this time” on the presymptomatic study is an approval of that study; it is the absence of non-hold comments on a study that may not be initiated (R-14).</w:t>
      </w:r>
    </w:p>
    <w:p>
      <w:pPr>
        <w:pStyle w:val="Heading2"/>
      </w:pPr>
      <w:r>
        <w:t>6.3  Post-resumption interlock</w:t>
      </w:r>
    </w:p>
    <w:p>
      <w:pPr>
        <w:spacing w:after="100"/>
        <w:ind w:left="461" w:hanging="461"/>
      </w:pPr>
      <w:r>
        <w:rPr>
          <w:b/>
        </w:rPr>
        <w:t xml:space="preserve">6.3.1  </w:t>
      </w:r>
      <w:r>
        <w:t>On resumption, each dose level of the presymptomatic study may be studied only once 42 days have passed since the sentinel patient was dosed at that level in the symptomatic study, and the first participant at each level in the presymptomatic study serves as a separate sentinel, per presymptomatic protocol §5.1.5. The hold does not suspend, reset or excuse this interlock.</w:t>
      </w:r>
    </w:p>
    <w:p>
      <w:pPr>
        <w:spacing w:after="100"/>
        <w:ind w:left="461" w:hanging="461"/>
      </w:pPr>
      <w:r>
        <w:rPr>
          <w:b/>
        </w:rPr>
        <w:t xml:space="preserve">6.3.2  </w:t>
      </w:r>
      <w:r>
        <w:t>Scheduling shall assume that the presymptomatic study cannot begin at a dose level earlier than 42 days after the corresponding symptomatic sentinel, even if G-1 through G-5 are satisfied sooner. Any timeline that shows presymptomatic dosing before that point is defective on its face.</w:t>
      </w:r>
    </w:p>
    <w:p>
      <w:r>
        <w:br w:type="page"/>
      </w:r>
    </w:p>
    <w:p>
      <w:pPr>
        <w:pStyle w:val="Heading1"/>
      </w:pPr>
      <w:r>
        <w:t>Article 7 — Non-hold comment disposition register</w:t>
      </w:r>
    </w:p>
    <w:p>
      <w:r>
        <w:rPr>
          <w:b w:val="0"/>
          <w:i/>
          <w:sz w:val="19"/>
        </w:rPr>
        <w:t>The 14 numbered items are expressly not clinical hold issues. They travel in SR-2, or SR-3 where they change protocol text. None of them gates resumption; none of them belongs in SR-1. Comment numbering follows the letter.</w:t>
      </w:r>
    </w:p>
    <w:tbl>
      <w:tblPr>
        <w:tblStyle w:val="TableGrid"/>
        <w:tblW w:type="auto" w:w="0"/>
        <w:jc w:val="center"/>
        <w:tblLook w:firstColumn="1" w:firstRow="1" w:lastColumn="0" w:lastRow="0" w:noHBand="0" w:noVBand="1" w:val="04A0"/>
      </w:tblPr>
      <w:tblGrid>
        <w:gridCol w:w="1930"/>
        <w:gridCol w:w="1930"/>
        <w:gridCol w:w="1930"/>
        <w:gridCol w:w="1930"/>
        <w:gridCol w:w="1930"/>
      </w:tblGrid>
      <w:tr>
        <w:trPr>
          <w:tblHeader/>
        </w:trPr>
        <w:tc>
          <w:tcPr>
            <w:tcW w:type="dxa" w:w="504"/>
            <w:shd w:val="clear" w:color="auto" w:fill="1F3B57"/>
          </w:tcPr>
          <w:p>
            <w:pPr>
              <w:spacing w:after="40" w:before="40" w:line="240" w:lineRule="auto"/>
            </w:pPr>
            <w:r>
              <w:rPr>
                <w:color w:val="FFFFFF"/>
              </w:rPr>
            </w:r>
            <w:r>
              <w:rPr>
                <w:b/>
                <w:i w:val="0"/>
                <w:color w:val="FFFFFF"/>
                <w:sz w:val="17"/>
              </w:rPr>
              <w:t>No.</w:t>
            </w:r>
          </w:p>
        </w:tc>
        <w:tc>
          <w:tcPr>
            <w:tcW w:type="dxa" w:w="2736"/>
            <w:shd w:val="clear" w:color="auto" w:fill="1F3B57"/>
          </w:tcPr>
          <w:p>
            <w:pPr>
              <w:spacing w:after="40" w:before="40" w:line="240" w:lineRule="auto"/>
            </w:pPr>
            <w:r>
              <w:rPr>
                <w:color w:val="FFFFFF"/>
              </w:rPr>
            </w:r>
            <w:r>
              <w:rPr>
                <w:b/>
                <w:i w:val="0"/>
                <w:color w:val="FFFFFF"/>
                <w:sz w:val="17"/>
              </w:rPr>
              <w:t>Subject (letter’s terms)</w:t>
            </w:r>
          </w:p>
        </w:tc>
        <w:tc>
          <w:tcPr>
            <w:tcW w:type="dxa" w:w="1368"/>
            <w:shd w:val="clear" w:color="auto" w:fill="1F3B57"/>
          </w:tcPr>
          <w:p>
            <w:pPr>
              <w:spacing w:after="40" w:before="40" w:line="240" w:lineRule="auto"/>
            </w:pPr>
            <w:r>
              <w:rPr>
                <w:color w:val="FFFFFF"/>
              </w:rPr>
            </w:r>
            <w:r>
              <w:rPr>
                <w:b/>
                <w:i w:val="0"/>
                <w:color w:val="FFFFFF"/>
                <w:sz w:val="17"/>
              </w:rPr>
              <w:t>Nature</w:t>
            </w:r>
          </w:p>
        </w:tc>
        <w:tc>
          <w:tcPr>
            <w:tcW w:type="dxa" w:w="1008"/>
            <w:shd w:val="clear" w:color="auto" w:fill="1F3B57"/>
          </w:tcPr>
          <w:p>
            <w:pPr>
              <w:spacing w:after="40" w:before="40" w:line="240" w:lineRule="auto"/>
            </w:pPr>
            <w:r>
              <w:rPr>
                <w:color w:val="FFFFFF"/>
              </w:rPr>
            </w:r>
            <w:r>
              <w:rPr>
                <w:b/>
                <w:i w:val="0"/>
                <w:color w:val="FFFFFF"/>
                <w:sz w:val="17"/>
              </w:rPr>
              <w:t>Route</w:t>
            </w:r>
          </w:p>
        </w:tc>
        <w:tc>
          <w:tcPr>
            <w:tcW w:type="dxa" w:w="4176"/>
            <w:shd w:val="clear" w:color="auto" w:fill="1F3B57"/>
          </w:tcPr>
          <w:p>
            <w:pPr>
              <w:spacing w:after="40" w:before="40" w:line="240" w:lineRule="auto"/>
            </w:pPr>
            <w:r>
              <w:rPr>
                <w:color w:val="FFFFFF"/>
              </w:rPr>
            </w:r>
            <w:r>
              <w:rPr>
                <w:b/>
                <w:i w:val="0"/>
                <w:color w:val="FFFFFF"/>
                <w:sz w:val="17"/>
              </w:rPr>
              <w:t>Binding disposition</w:t>
            </w:r>
          </w:p>
        </w:tc>
      </w:tr>
      <w:tr>
        <w:tc>
          <w:tcPr>
            <w:tcW w:type="dxa" w:w="504"/>
          </w:tcPr>
          <w:p>
            <w:pPr>
              <w:spacing w:after="40" w:before="40" w:line="240" w:lineRule="auto"/>
            </w:pPr>
            <w:r/>
            <w:r>
              <w:rPr>
                <w:b w:val="0"/>
                <w:i w:val="0"/>
                <w:sz w:val="17"/>
              </w:rPr>
              <w:t>1</w:t>
            </w:r>
          </w:p>
        </w:tc>
        <w:tc>
          <w:tcPr>
            <w:tcW w:type="dxa" w:w="2736"/>
          </w:tcPr>
          <w:p>
            <w:pPr>
              <w:spacing w:after="40" w:before="40" w:line="240" w:lineRule="auto"/>
            </w:pPr>
            <w:r/>
            <w:r>
              <w:rPr>
                <w:b w:val="0"/>
                <w:i w:val="0"/>
                <w:sz w:val="17"/>
              </w:rPr>
              <w:t>Consider a placebo-controlled design in the symptomatic study; a concurrent placebo group may improve characterisation of risk beyond the intrathecal procedure and the disease, and may support future studies in healthy at-risk patients.</w:t>
            </w:r>
          </w:p>
        </w:tc>
        <w:tc>
          <w:tcPr>
            <w:tcW w:type="dxa" w:w="1368"/>
          </w:tcPr>
          <w:p>
            <w:pPr>
              <w:spacing w:after="40" w:before="40" w:line="240" w:lineRule="auto"/>
            </w:pPr>
            <w:r/>
            <w:r>
              <w:rPr>
                <w:b w:val="0"/>
                <w:i w:val="0"/>
                <w:sz w:val="17"/>
              </w:rPr>
              <w:t>Recommendation (“should consider”)</w:t>
            </w:r>
          </w:p>
        </w:tc>
        <w:tc>
          <w:tcPr>
            <w:tcW w:type="dxa" w:w="1008"/>
          </w:tcPr>
          <w:p>
            <w:pPr>
              <w:spacing w:after="40" w:before="40" w:line="240" w:lineRule="auto"/>
            </w:pPr>
            <w:r/>
            <w:r>
              <w:rPr>
                <w:b w:val="0"/>
                <w:i w:val="0"/>
                <w:sz w:val="17"/>
              </w:rPr>
              <w:t>SR-2 + SR-3</w:t>
            </w:r>
          </w:p>
        </w:tc>
        <w:tc>
          <w:tcPr>
            <w:tcW w:type="dxa" w:w="4176"/>
          </w:tcPr>
          <w:p>
            <w:pPr>
              <w:spacing w:after="40" w:before="40" w:line="240" w:lineRule="auto"/>
            </w:pPr>
            <w:r/>
            <w:r>
              <w:rPr>
                <w:b w:val="0"/>
                <w:i w:val="0"/>
                <w:sz w:val="17"/>
              </w:rPr>
              <w:t>A reasoned written position is required either way. If the open-label design is retained, SR-2 shall state the sponsor’s rationale expressly, in this population and at this sample size. Note the Division’s stated linkage: a placebo comparison may support the presymptomatic programme, which is the programme under hold. Decision owner: Clinical, with Regulatory Operations concurrence.</w:t>
            </w:r>
          </w:p>
        </w:tc>
      </w:tr>
      <w:tr>
        <w:tc>
          <w:tcPr>
            <w:tcW w:type="dxa" w:w="504"/>
            <w:shd w:val="clear" w:color="auto" w:fill="F2F5F8"/>
          </w:tcPr>
          <w:p>
            <w:pPr>
              <w:spacing w:after="40" w:before="40" w:line="240" w:lineRule="auto"/>
            </w:pPr>
            <w:r/>
            <w:r>
              <w:rPr>
                <w:b w:val="0"/>
                <w:i w:val="0"/>
                <w:sz w:val="17"/>
              </w:rPr>
              <w:t>2</w:t>
            </w:r>
          </w:p>
        </w:tc>
        <w:tc>
          <w:tcPr>
            <w:tcW w:type="dxa" w:w="2736"/>
            <w:shd w:val="clear" w:color="auto" w:fill="F2F5F8"/>
          </w:tcPr>
          <w:p>
            <w:pPr>
              <w:spacing w:after="40" w:before="40" w:line="240" w:lineRule="auto"/>
            </w:pPr>
            <w:r/>
            <w:r>
              <w:rPr>
                <w:b w:val="0"/>
                <w:i w:val="0"/>
                <w:sz w:val="17"/>
              </w:rPr>
              <w:t>“Symptoms of prion disease in the opinion of the Investigator” is overly vague; use quantitative thresholds such as the MRC-PDRS.</w:t>
            </w:r>
          </w:p>
        </w:tc>
        <w:tc>
          <w:tcPr>
            <w:tcW w:type="dxa" w:w="1368"/>
            <w:shd w:val="clear" w:color="auto" w:fill="F2F5F8"/>
          </w:tcPr>
          <w:p>
            <w:pPr>
              <w:spacing w:after="40" w:before="40" w:line="240" w:lineRule="auto"/>
            </w:pPr>
            <w:r/>
            <w:r>
              <w:rPr>
                <w:b w:val="0"/>
                <w:i w:val="0"/>
                <w:sz w:val="17"/>
              </w:rPr>
              <w:t>Request (“you should use”)</w:t>
            </w:r>
          </w:p>
        </w:tc>
        <w:tc>
          <w:tcPr>
            <w:tcW w:type="dxa" w:w="1008"/>
            <w:shd w:val="clear" w:color="auto" w:fill="F2F5F8"/>
          </w:tcPr>
          <w:p>
            <w:pPr>
              <w:spacing w:after="40" w:before="40" w:line="240" w:lineRule="auto"/>
            </w:pPr>
            <w:r/>
            <w:r>
              <w:rPr>
                <w:b w:val="0"/>
                <w:i w:val="0"/>
                <w:sz w:val="17"/>
              </w:rPr>
              <w:t>SR-3</w:t>
            </w:r>
          </w:p>
        </w:tc>
        <w:tc>
          <w:tcPr>
            <w:tcW w:type="dxa" w:w="4176"/>
            <w:shd w:val="clear" w:color="auto" w:fill="F2F5F8"/>
          </w:tcPr>
          <w:p>
            <w:pPr>
              <w:spacing w:after="40" w:before="40" w:line="240" w:lineRule="auto"/>
            </w:pPr>
            <w:r/>
            <w:r>
              <w:rPr>
                <w:b w:val="0"/>
                <w:i w:val="0"/>
                <w:sz w:val="17"/>
              </w:rPr>
              <w:t>The symptomatic protocol v7 already carries inclusion criterion 6, MRC-PDRS ≥15 at screening, alongside the criticised criterion 3. The vague criterion shall be deleted or rewritten to a quantitative threshold; retaining both is not a response. Conform the General Investigational Plan, which already recites the MRC-PDRS ≥15 threshold.</w:t>
            </w:r>
          </w:p>
        </w:tc>
      </w:tr>
      <w:tr>
        <w:tc>
          <w:tcPr>
            <w:tcW w:type="dxa" w:w="504"/>
          </w:tcPr>
          <w:p>
            <w:pPr>
              <w:spacing w:after="40" w:before="40" w:line="240" w:lineRule="auto"/>
            </w:pPr>
            <w:r/>
            <w:r>
              <w:rPr>
                <w:b w:val="0"/>
                <w:i w:val="0"/>
                <w:sz w:val="17"/>
              </w:rPr>
              <w:t>3</w:t>
            </w:r>
          </w:p>
        </w:tc>
        <w:tc>
          <w:tcPr>
            <w:tcW w:type="dxa" w:w="2736"/>
          </w:tcPr>
          <w:p>
            <w:pPr>
              <w:spacing w:after="40" w:before="40" w:line="240" w:lineRule="auto"/>
            </w:pPr>
            <w:r/>
            <w:r>
              <w:rPr>
                <w:b w:val="0"/>
                <w:i w:val="0"/>
                <w:sz w:val="17"/>
              </w:rPr>
              <w:t>Specify highly effective contraception and make requirements consistent for both sexes.</w:t>
            </w:r>
          </w:p>
        </w:tc>
        <w:tc>
          <w:tcPr>
            <w:tcW w:type="dxa" w:w="1368"/>
          </w:tcPr>
          <w:p>
            <w:pPr>
              <w:spacing w:after="40" w:before="40" w:line="240" w:lineRule="auto"/>
            </w:pPr>
            <w:r/>
            <w:r>
              <w:rPr>
                <w:b w:val="0"/>
                <w:i w:val="0"/>
                <w:sz w:val="17"/>
              </w:rPr>
              <w:t>Request</w:t>
            </w:r>
          </w:p>
        </w:tc>
        <w:tc>
          <w:tcPr>
            <w:tcW w:type="dxa" w:w="1008"/>
          </w:tcPr>
          <w:p>
            <w:pPr>
              <w:spacing w:after="40" w:before="40" w:line="240" w:lineRule="auto"/>
            </w:pPr>
            <w:r/>
            <w:r>
              <w:rPr>
                <w:b w:val="0"/>
                <w:i w:val="0"/>
                <w:sz w:val="17"/>
              </w:rPr>
              <w:t>SR-3</w:t>
            </w:r>
          </w:p>
        </w:tc>
        <w:tc>
          <w:tcPr>
            <w:tcW w:type="dxa" w:w="4176"/>
          </w:tcPr>
          <w:p>
            <w:pPr>
              <w:spacing w:after="40" w:before="40" w:line="240" w:lineRule="auto"/>
            </w:pPr>
            <w:r/>
            <w:r>
              <w:rPr>
                <w:b w:val="0"/>
                <w:i w:val="0"/>
                <w:sz w:val="17"/>
              </w:rPr>
              <w:t>The protocol of record specifies highly effective methods for females of childbearing potential only (30 days pre-dose to 6 months post-dose). Requirements for male participants and their partners shall be added at parity of stringency and duration, in both protocols and both informed consent forms. Applies to the presymptomatic documents as a conforming change even though held.</w:t>
            </w:r>
          </w:p>
        </w:tc>
      </w:tr>
      <w:tr>
        <w:tc>
          <w:tcPr>
            <w:tcW w:type="dxa" w:w="504"/>
            <w:shd w:val="clear" w:color="auto" w:fill="F2F5F8"/>
          </w:tcPr>
          <w:p>
            <w:pPr>
              <w:spacing w:after="40" w:before="40" w:line="240" w:lineRule="auto"/>
            </w:pPr>
            <w:r/>
            <w:r>
              <w:rPr>
                <w:b w:val="0"/>
                <w:i w:val="0"/>
                <w:sz w:val="17"/>
              </w:rPr>
              <w:t>4</w:t>
            </w:r>
          </w:p>
        </w:tc>
        <w:tc>
          <w:tcPr>
            <w:tcW w:type="dxa" w:w="2736"/>
            <w:shd w:val="clear" w:color="auto" w:fill="F2F5F8"/>
          </w:tcPr>
          <w:p>
            <w:pPr>
              <w:spacing w:after="40" w:before="40" w:line="240" w:lineRule="auto"/>
            </w:pPr>
            <w:r/>
            <w:r>
              <w:rPr>
                <w:b w:val="0"/>
                <w:i w:val="0"/>
                <w:sz w:val="17"/>
              </w:rPr>
              <w:t>If PrP levels are intended as a biomarker to support efficacy, confirm the analytical methods are adequately validated for the specific context of use; confirm specificity and sensitivity for all analytes in the proposed biological matrices with appropriate control samples; submission of method development and validation protocols in advance is encouraged.</w:t>
            </w:r>
          </w:p>
        </w:tc>
        <w:tc>
          <w:tcPr>
            <w:tcW w:type="dxa" w:w="1368"/>
            <w:shd w:val="clear" w:color="auto" w:fill="F2F5F8"/>
          </w:tcPr>
          <w:p>
            <w:pPr>
              <w:spacing w:after="40" w:before="40" w:line="240" w:lineRule="auto"/>
            </w:pPr>
            <w:r/>
            <w:r>
              <w:rPr>
                <w:b w:val="0"/>
                <w:i w:val="0"/>
                <w:sz w:val="17"/>
              </w:rPr>
              <w:t>Conditional recommendation</w:t>
            </w:r>
          </w:p>
        </w:tc>
        <w:tc>
          <w:tcPr>
            <w:tcW w:type="dxa" w:w="1008"/>
            <w:shd w:val="clear" w:color="auto" w:fill="F2F5F8"/>
          </w:tcPr>
          <w:p>
            <w:pPr>
              <w:spacing w:after="40" w:before="40" w:line="240" w:lineRule="auto"/>
            </w:pPr>
            <w:r/>
            <w:r>
              <w:rPr>
                <w:b w:val="0"/>
                <w:i w:val="0"/>
                <w:sz w:val="17"/>
              </w:rPr>
              <w:t>SR-2, then SR-5</w:t>
            </w:r>
          </w:p>
        </w:tc>
        <w:tc>
          <w:tcPr>
            <w:tcW w:type="dxa" w:w="4176"/>
            <w:shd w:val="clear" w:color="auto" w:fill="F2F5F8"/>
          </w:tcPr>
          <w:p>
            <w:pPr>
              <w:spacing w:after="40" w:before="40" w:line="240" w:lineRule="auto"/>
            </w:pPr>
            <w:r/>
            <w:r>
              <w:rPr>
                <w:b w:val="0"/>
                <w:i w:val="0"/>
                <w:sz w:val="17"/>
              </w:rPr>
              <w:t>SR-2 shall declare the context of use in writing. See Article 8, rulings A-8 to A-10: the Bioanalytical position of 19 March 2025 is not adopted as written.</w:t>
            </w:r>
          </w:p>
        </w:tc>
      </w:tr>
      <w:tr>
        <w:tc>
          <w:tcPr>
            <w:tcW w:type="dxa" w:w="504"/>
          </w:tcPr>
          <w:p>
            <w:pPr>
              <w:spacing w:after="40" w:before="40" w:line="240" w:lineRule="auto"/>
            </w:pPr>
            <w:r/>
            <w:r>
              <w:rPr>
                <w:b w:val="0"/>
                <w:i w:val="0"/>
                <w:sz w:val="17"/>
              </w:rPr>
              <w:t>5</w:t>
            </w:r>
          </w:p>
        </w:tc>
        <w:tc>
          <w:tcPr>
            <w:tcW w:type="dxa" w:w="2736"/>
          </w:tcPr>
          <w:p>
            <w:pPr>
              <w:spacing w:after="40" w:before="40" w:line="240" w:lineRule="auto"/>
            </w:pPr>
            <w:r/>
            <w:r>
              <w:rPr>
                <w:b w:val="0"/>
                <w:i w:val="0"/>
                <w:sz w:val="17"/>
              </w:rPr>
              <w:t>Discrepancy between the study sample size in the general investigational plan and the protocol; revise the general investigational plan.</w:t>
            </w:r>
          </w:p>
        </w:tc>
        <w:tc>
          <w:tcPr>
            <w:tcW w:type="dxa" w:w="1368"/>
          </w:tcPr>
          <w:p>
            <w:pPr>
              <w:spacing w:after="40" w:before="40" w:line="240" w:lineRule="auto"/>
            </w:pPr>
            <w:r/>
            <w:r>
              <w:rPr>
                <w:b w:val="0"/>
                <w:i w:val="0"/>
                <w:sz w:val="17"/>
              </w:rPr>
              <w:t>Request</w:t>
            </w:r>
          </w:p>
        </w:tc>
        <w:tc>
          <w:tcPr>
            <w:tcW w:type="dxa" w:w="1008"/>
          </w:tcPr>
          <w:p>
            <w:pPr>
              <w:spacing w:after="40" w:before="40" w:line="240" w:lineRule="auto"/>
            </w:pPr>
            <w:r/>
            <w:r>
              <w:rPr>
                <w:b w:val="0"/>
                <w:i w:val="0"/>
                <w:sz w:val="17"/>
              </w:rPr>
              <w:t>SR-2</w:t>
            </w:r>
          </w:p>
        </w:tc>
        <w:tc>
          <w:tcPr>
            <w:tcW w:type="dxa" w:w="4176"/>
          </w:tcPr>
          <w:p>
            <w:pPr>
              <w:spacing w:after="40" w:before="40" w:line="240" w:lineRule="auto"/>
            </w:pPr>
            <w:r/>
            <w:r>
              <w:rPr>
                <w:b w:val="0"/>
                <w:i w:val="0"/>
                <w:sz w:val="17"/>
              </w:rPr>
              <w:t>The discrepancy is identified: the General Investigational Plan describes 50, 100 and 200 mg each in N=3, then 6 additional participants at the highest tolerated dose, for 15; both protocols specify cohorts of 3, 3 and 9 with the 9 fixed at 200 mg. Totals agree at N=15 per protocol and N=30 overall; the escalation structure does not. The General Investigational Plan shall be revised to the protocols’ structure, and the revision shall state which document was wrong. Note also that the plan’s visit schedule (4, 8, 12 and 24 weeks) omits the Day 7 and Day 14 visits present in the symptomatic SOA; correct while in hand.</w:t>
            </w:r>
          </w:p>
        </w:tc>
      </w:tr>
      <w:tr>
        <w:tc>
          <w:tcPr>
            <w:tcW w:type="dxa" w:w="504"/>
            <w:shd w:val="clear" w:color="auto" w:fill="F2F5F8"/>
          </w:tcPr>
          <w:p>
            <w:pPr>
              <w:spacing w:after="40" w:before="40" w:line="240" w:lineRule="auto"/>
            </w:pPr>
            <w:r/>
            <w:r>
              <w:rPr>
                <w:b w:val="0"/>
                <w:i w:val="0"/>
                <w:sz w:val="17"/>
              </w:rPr>
              <w:t>6</w:t>
            </w:r>
          </w:p>
        </w:tc>
        <w:tc>
          <w:tcPr>
            <w:tcW w:type="dxa" w:w="2736"/>
            <w:shd w:val="clear" w:color="auto" w:fill="F2F5F8"/>
          </w:tcPr>
          <w:p>
            <w:pPr>
              <w:spacing w:after="40" w:before="40" w:line="240" w:lineRule="auto"/>
            </w:pPr>
            <w:r/>
            <w:r>
              <w:rPr>
                <w:b w:val="0"/>
                <w:i w:val="0"/>
                <w:sz w:val="17"/>
              </w:rPr>
              <w:t>Collect CSF where feasible and blood at informative time points to characterise PK and PD in both matrices, to enable PK/PD analysis informing future designs; give the sampling plan in the protocol with specific time points relative to dose (hours on dosing day, days afterward).</w:t>
            </w:r>
          </w:p>
        </w:tc>
        <w:tc>
          <w:tcPr>
            <w:tcW w:type="dxa" w:w="1368"/>
            <w:shd w:val="clear" w:color="auto" w:fill="F2F5F8"/>
          </w:tcPr>
          <w:p>
            <w:pPr>
              <w:spacing w:after="40" w:before="40" w:line="240" w:lineRule="auto"/>
            </w:pPr>
            <w:r/>
            <w:r>
              <w:rPr>
                <w:b w:val="0"/>
                <w:i w:val="0"/>
                <w:sz w:val="17"/>
              </w:rPr>
              <w:t>Recommendation</w:t>
            </w:r>
          </w:p>
        </w:tc>
        <w:tc>
          <w:tcPr>
            <w:tcW w:type="dxa" w:w="1008"/>
            <w:shd w:val="clear" w:color="auto" w:fill="F2F5F8"/>
          </w:tcPr>
          <w:p>
            <w:pPr>
              <w:spacing w:after="40" w:before="40" w:line="240" w:lineRule="auto"/>
            </w:pPr>
            <w:r/>
            <w:r>
              <w:rPr>
                <w:b w:val="0"/>
                <w:i w:val="0"/>
                <w:sz w:val="17"/>
              </w:rPr>
              <w:t>SR-3</w:t>
            </w:r>
          </w:p>
        </w:tc>
        <w:tc>
          <w:tcPr>
            <w:tcW w:type="dxa" w:w="4176"/>
            <w:shd w:val="clear" w:color="auto" w:fill="F2F5F8"/>
          </w:tcPr>
          <w:p>
            <w:pPr>
              <w:spacing w:after="40" w:before="40" w:line="240" w:lineRule="auto"/>
            </w:pPr>
            <w:r/>
            <w:r>
              <w:rPr>
                <w:b w:val="0"/>
                <w:i w:val="0"/>
                <w:sz w:val="17"/>
              </w:rPr>
              <w:t>The protocol sampling schedule shall be restated with explicit clock-hour time points on Day 0–1 during the 48-hour admission and explicit day offsets thereafter. Drafting note: the letter renders the product as “2349-exNA” in this comment; the product is 2439-exNA and the sponsor shall use the correct designation while responding to the comment as written.</w:t>
            </w:r>
          </w:p>
        </w:tc>
      </w:tr>
      <w:tr>
        <w:tc>
          <w:tcPr>
            <w:tcW w:type="dxa" w:w="504"/>
          </w:tcPr>
          <w:p>
            <w:pPr>
              <w:spacing w:after="40" w:before="40" w:line="240" w:lineRule="auto"/>
            </w:pPr>
            <w:r/>
            <w:r>
              <w:rPr>
                <w:b w:val="0"/>
                <w:i w:val="0"/>
                <w:sz w:val="17"/>
              </w:rPr>
              <w:t>7</w:t>
            </w:r>
          </w:p>
        </w:tc>
        <w:tc>
          <w:tcPr>
            <w:tcW w:type="dxa" w:w="2736"/>
          </w:tcPr>
          <w:p>
            <w:pPr>
              <w:spacing w:after="40" w:before="40" w:line="240" w:lineRule="auto"/>
            </w:pPr>
            <w:r/>
            <w:r>
              <w:rPr>
                <w:b w:val="0"/>
                <w:i w:val="0"/>
                <w:sz w:val="17"/>
              </w:rPr>
              <w:t>If an alternate salt or hydrate form is developed in future, base drug product strength on the free base (MAPP 5021.1; salt naming guidance).</w:t>
            </w:r>
          </w:p>
        </w:tc>
        <w:tc>
          <w:tcPr>
            <w:tcW w:type="dxa" w:w="1368"/>
          </w:tcPr>
          <w:p>
            <w:pPr>
              <w:spacing w:after="40" w:before="40" w:line="240" w:lineRule="auto"/>
            </w:pPr>
            <w:r/>
            <w:r>
              <w:rPr>
                <w:b w:val="0"/>
                <w:i w:val="0"/>
                <w:sz w:val="17"/>
              </w:rPr>
              <w:t>Forward-looking recommendation</w:t>
            </w:r>
          </w:p>
        </w:tc>
        <w:tc>
          <w:tcPr>
            <w:tcW w:type="dxa" w:w="1008"/>
          </w:tcPr>
          <w:p>
            <w:pPr>
              <w:spacing w:after="40" w:before="40" w:line="240" w:lineRule="auto"/>
            </w:pPr>
            <w:r/>
            <w:r>
              <w:rPr>
                <w:b w:val="0"/>
                <w:i w:val="0"/>
                <w:sz w:val="17"/>
              </w:rPr>
              <w:t>SR-2</w:t>
            </w:r>
          </w:p>
        </w:tc>
        <w:tc>
          <w:tcPr>
            <w:tcW w:type="dxa" w:w="4176"/>
          </w:tcPr>
          <w:p>
            <w:pPr>
              <w:spacing w:after="40" w:before="40" w:line="240" w:lineRule="auto"/>
            </w:pPr>
            <w:r/>
            <w:r>
              <w:rPr>
                <w:b w:val="0"/>
                <w:i w:val="0"/>
                <w:sz w:val="17"/>
              </w:rPr>
              <w:t>Acknowledge; no present change. CMC to record the convention in the development plan against the contingency.</w:t>
            </w:r>
          </w:p>
        </w:tc>
      </w:tr>
      <w:tr>
        <w:tc>
          <w:tcPr>
            <w:tcW w:type="dxa" w:w="504"/>
            <w:shd w:val="clear" w:color="auto" w:fill="F2F5F8"/>
          </w:tcPr>
          <w:p>
            <w:pPr>
              <w:spacing w:after="40" w:before="40" w:line="240" w:lineRule="auto"/>
            </w:pPr>
            <w:r/>
            <w:r>
              <w:rPr>
                <w:b w:val="0"/>
                <w:i w:val="0"/>
                <w:sz w:val="17"/>
              </w:rPr>
              <w:t>8</w:t>
            </w:r>
          </w:p>
        </w:tc>
        <w:tc>
          <w:tcPr>
            <w:tcW w:type="dxa" w:w="2736"/>
            <w:shd w:val="clear" w:color="auto" w:fill="F2F5F8"/>
          </w:tcPr>
          <w:p>
            <w:pPr>
              <w:spacing w:after="40" w:before="40" w:line="240" w:lineRule="auto"/>
            </w:pPr>
            <w:r/>
            <w:r>
              <w:rPr>
                <w:b w:val="0"/>
                <w:i w:val="0"/>
                <w:sz w:val="17"/>
              </w:rPr>
              <w:t>Impurity profile is adequate for the proposed study; as development continues, list related substance impurities individually in batch data and stability reports for drug substance and drug product, optionally grouped by structural class, controlled with acceptance criteria supported by toxicology; ICH Q3A/Q3B thresholds do not strictly apply to oligonucleotides but impurity levels should be qualified by appropriate safety studies.</w:t>
            </w:r>
          </w:p>
        </w:tc>
        <w:tc>
          <w:tcPr>
            <w:tcW w:type="dxa" w:w="1368"/>
            <w:shd w:val="clear" w:color="auto" w:fill="F2F5F8"/>
          </w:tcPr>
          <w:p>
            <w:pPr>
              <w:spacing w:after="40" w:before="40" w:line="240" w:lineRule="auto"/>
            </w:pPr>
            <w:r/>
            <w:r>
              <w:rPr>
                <w:b w:val="0"/>
                <w:i w:val="0"/>
                <w:sz w:val="17"/>
              </w:rPr>
              <w:t>Recommendation, adequacy confirmed</w:t>
            </w:r>
          </w:p>
        </w:tc>
        <w:tc>
          <w:tcPr>
            <w:tcW w:type="dxa" w:w="1008"/>
            <w:shd w:val="clear" w:color="auto" w:fill="F2F5F8"/>
          </w:tcPr>
          <w:p>
            <w:pPr>
              <w:spacing w:after="40" w:before="40" w:line="240" w:lineRule="auto"/>
            </w:pPr>
            <w:r/>
            <w:r>
              <w:rPr>
                <w:b w:val="0"/>
                <w:i w:val="0"/>
                <w:sz w:val="17"/>
              </w:rPr>
              <w:t>SR-2</w:t>
            </w:r>
          </w:p>
        </w:tc>
        <w:tc>
          <w:tcPr>
            <w:tcW w:type="dxa" w:w="4176"/>
            <w:shd w:val="clear" w:color="auto" w:fill="F2F5F8"/>
          </w:tcPr>
          <w:p>
            <w:pPr>
              <w:spacing w:after="40" w:before="40" w:line="240" w:lineRule="auto"/>
            </w:pPr>
            <w:r/>
            <w:r>
              <w:rPr>
                <w:b w:val="0"/>
                <w:i w:val="0"/>
                <w:sz w:val="17"/>
              </w:rPr>
              <w:t>Acknowledge with a development commitment. No reopening of the current specification is required by the letter.</w:t>
            </w:r>
          </w:p>
        </w:tc>
      </w:tr>
      <w:tr>
        <w:tc>
          <w:tcPr>
            <w:tcW w:type="dxa" w:w="504"/>
          </w:tcPr>
          <w:p>
            <w:pPr>
              <w:spacing w:after="40" w:before="40" w:line="240" w:lineRule="auto"/>
            </w:pPr>
            <w:r/>
            <w:r>
              <w:rPr>
                <w:b w:val="0"/>
                <w:i w:val="0"/>
                <w:sz w:val="17"/>
              </w:rPr>
              <w:t>9</w:t>
            </w:r>
          </w:p>
        </w:tc>
        <w:tc>
          <w:tcPr>
            <w:tcW w:type="dxa" w:w="2736"/>
          </w:tcPr>
          <w:p>
            <w:pPr>
              <w:spacing w:after="40" w:before="40" w:line="240" w:lineRule="auto"/>
            </w:pPr>
            <w:r/>
            <w:r>
              <w:rPr>
                <w:b w:val="0"/>
                <w:i w:val="0"/>
                <w:sz w:val="17"/>
              </w:rPr>
              <w:t>As additional impurity classes or individual impurities are quantified, include a side-by-side tabular comparison of clinical and nonclinical drug substance impurity levels.</w:t>
            </w:r>
          </w:p>
        </w:tc>
        <w:tc>
          <w:tcPr>
            <w:tcW w:type="dxa" w:w="1368"/>
          </w:tcPr>
          <w:p>
            <w:pPr>
              <w:spacing w:after="40" w:before="40" w:line="240" w:lineRule="auto"/>
            </w:pPr>
            <w:r/>
            <w:r>
              <w:rPr>
                <w:b w:val="0"/>
                <w:i w:val="0"/>
                <w:sz w:val="17"/>
              </w:rPr>
              <w:t>Recommendation</w:t>
            </w:r>
          </w:p>
        </w:tc>
        <w:tc>
          <w:tcPr>
            <w:tcW w:type="dxa" w:w="1008"/>
          </w:tcPr>
          <w:p>
            <w:pPr>
              <w:spacing w:after="40" w:before="40" w:line="240" w:lineRule="auto"/>
            </w:pPr>
            <w:r/>
            <w:r>
              <w:rPr>
                <w:b w:val="0"/>
                <w:i w:val="0"/>
                <w:sz w:val="17"/>
              </w:rPr>
              <w:t>SR-2</w:t>
            </w:r>
          </w:p>
        </w:tc>
        <w:tc>
          <w:tcPr>
            <w:tcW w:type="dxa" w:w="4176"/>
          </w:tcPr>
          <w:p>
            <w:pPr>
              <w:spacing w:after="40" w:before="40" w:line="240" w:lineRule="auto"/>
            </w:pPr>
            <w:r/>
            <w:r>
              <w:rPr>
                <w:b w:val="0"/>
                <w:i w:val="0"/>
                <w:sz w:val="17"/>
              </w:rPr>
              <w:t>Acknowledge; adopt as a standing reporting format.</w:t>
            </w:r>
          </w:p>
        </w:tc>
      </w:tr>
      <w:tr>
        <w:tc>
          <w:tcPr>
            <w:tcW w:type="dxa" w:w="504"/>
            <w:shd w:val="clear" w:color="auto" w:fill="F2F5F8"/>
          </w:tcPr>
          <w:p>
            <w:pPr>
              <w:spacing w:after="40" w:before="40" w:line="240" w:lineRule="auto"/>
            </w:pPr>
            <w:r/>
            <w:r>
              <w:rPr>
                <w:b w:val="0"/>
                <w:i w:val="0"/>
                <w:sz w:val="17"/>
              </w:rPr>
              <w:t>10</w:t>
            </w:r>
          </w:p>
        </w:tc>
        <w:tc>
          <w:tcPr>
            <w:tcW w:type="dxa" w:w="2736"/>
            <w:shd w:val="clear" w:color="auto" w:fill="F2F5F8"/>
          </w:tcPr>
          <w:p>
            <w:pPr>
              <w:spacing w:after="40" w:before="40" w:line="240" w:lineRule="auto"/>
            </w:pPr>
            <w:r/>
            <w:r>
              <w:rPr>
                <w:b w:val="0"/>
                <w:i w:val="0"/>
                <w:sz w:val="17"/>
              </w:rPr>
              <w:t>In drug substance and drug product specifications, report purity and impurity limits and results to two decimal places where the level is below 1.0% (e.g. 0.20%, not 0.2%).</w:t>
            </w:r>
          </w:p>
        </w:tc>
        <w:tc>
          <w:tcPr>
            <w:tcW w:type="dxa" w:w="1368"/>
            <w:shd w:val="clear" w:color="auto" w:fill="F2F5F8"/>
          </w:tcPr>
          <w:p>
            <w:pPr>
              <w:spacing w:after="40" w:before="40" w:line="240" w:lineRule="auto"/>
            </w:pPr>
            <w:r/>
            <w:r>
              <w:rPr>
                <w:b w:val="0"/>
                <w:i w:val="0"/>
                <w:sz w:val="17"/>
              </w:rPr>
              <w:t>Request</w:t>
            </w:r>
          </w:p>
        </w:tc>
        <w:tc>
          <w:tcPr>
            <w:tcW w:type="dxa" w:w="1008"/>
            <w:shd w:val="clear" w:color="auto" w:fill="F2F5F8"/>
          </w:tcPr>
          <w:p>
            <w:pPr>
              <w:spacing w:after="40" w:before="40" w:line="240" w:lineRule="auto"/>
            </w:pPr>
            <w:r/>
            <w:r>
              <w:rPr>
                <w:b w:val="0"/>
                <w:i w:val="0"/>
                <w:sz w:val="17"/>
              </w:rPr>
              <w:t>SR-2</w:t>
            </w:r>
          </w:p>
        </w:tc>
        <w:tc>
          <w:tcPr>
            <w:tcW w:type="dxa" w:w="4176"/>
            <w:shd w:val="clear" w:color="auto" w:fill="F2F5F8"/>
          </w:tcPr>
          <w:p>
            <w:pPr>
              <w:spacing w:after="40" w:before="40" w:line="240" w:lineRule="auto"/>
            </w:pPr>
            <w:r/>
            <w:r>
              <w:rPr>
                <w:b w:val="0"/>
                <w:i w:val="0"/>
                <w:sz w:val="17"/>
              </w:rPr>
              <w:t>Implement in the specifications and in future certificates of analysis. This is a concrete, cheap, verifiable change; SR-2 shall show the revised specification entries.</w:t>
            </w:r>
          </w:p>
        </w:tc>
      </w:tr>
      <w:tr>
        <w:tc>
          <w:tcPr>
            <w:tcW w:type="dxa" w:w="504"/>
          </w:tcPr>
          <w:p>
            <w:pPr>
              <w:spacing w:after="40" w:before="40" w:line="240" w:lineRule="auto"/>
            </w:pPr>
            <w:r/>
            <w:r>
              <w:rPr>
                <w:b w:val="0"/>
                <w:i w:val="0"/>
                <w:sz w:val="17"/>
              </w:rPr>
              <w:t>11</w:t>
            </w:r>
          </w:p>
        </w:tc>
        <w:tc>
          <w:tcPr>
            <w:tcW w:type="dxa" w:w="2736"/>
          </w:tcPr>
          <w:p>
            <w:pPr>
              <w:spacing w:after="40" w:before="40" w:line="240" w:lineRule="auto"/>
            </w:pPr>
            <w:r/>
            <w:r>
              <w:rPr>
                <w:b w:val="0"/>
                <w:i w:val="0"/>
                <w:sz w:val="17"/>
              </w:rPr>
              <w:t>As development proceeds, include a gross content test in the drug product specification per 21 CFR 201.51(g) and the allowable excess volume guidance and MAPP 5019.1, ensuring labelled content is delivered and excess does not exceed the assay content specification.</w:t>
            </w:r>
          </w:p>
        </w:tc>
        <w:tc>
          <w:tcPr>
            <w:tcW w:type="dxa" w:w="1368"/>
          </w:tcPr>
          <w:p>
            <w:pPr>
              <w:spacing w:after="40" w:before="40" w:line="240" w:lineRule="auto"/>
            </w:pPr>
            <w:r/>
            <w:r>
              <w:rPr>
                <w:b w:val="0"/>
                <w:i w:val="0"/>
                <w:sz w:val="17"/>
              </w:rPr>
              <w:t>Recommendation</w:t>
            </w:r>
          </w:p>
        </w:tc>
        <w:tc>
          <w:tcPr>
            <w:tcW w:type="dxa" w:w="1008"/>
          </w:tcPr>
          <w:p>
            <w:pPr>
              <w:spacing w:after="40" w:before="40" w:line="240" w:lineRule="auto"/>
            </w:pPr>
            <w:r/>
            <w:r>
              <w:rPr>
                <w:b w:val="0"/>
                <w:i w:val="0"/>
                <w:sz w:val="17"/>
              </w:rPr>
              <w:t>SR-2</w:t>
            </w:r>
          </w:p>
        </w:tc>
        <w:tc>
          <w:tcPr>
            <w:tcW w:type="dxa" w:w="4176"/>
          </w:tcPr>
          <w:p>
            <w:pPr>
              <w:spacing w:after="40" w:before="40" w:line="240" w:lineRule="auto"/>
            </w:pPr>
            <w:r/>
            <w:r>
              <w:rPr>
                <w:b w:val="0"/>
                <w:i w:val="0"/>
                <w:sz w:val="17"/>
              </w:rPr>
              <w:t>Acknowledge with a development commitment and a stated trigger point.</w:t>
            </w:r>
          </w:p>
        </w:tc>
      </w:tr>
      <w:tr>
        <w:tc>
          <w:tcPr>
            <w:tcW w:type="dxa" w:w="504"/>
            <w:shd w:val="clear" w:color="auto" w:fill="F2F5F8"/>
          </w:tcPr>
          <w:p>
            <w:pPr>
              <w:spacing w:after="40" w:before="40" w:line="240" w:lineRule="auto"/>
            </w:pPr>
            <w:r/>
            <w:r>
              <w:rPr>
                <w:b w:val="0"/>
                <w:i w:val="0"/>
                <w:sz w:val="17"/>
              </w:rPr>
              <w:t>12</w:t>
            </w:r>
          </w:p>
        </w:tc>
        <w:tc>
          <w:tcPr>
            <w:tcW w:type="dxa" w:w="2736"/>
            <w:shd w:val="clear" w:color="auto" w:fill="F2F5F8"/>
          </w:tcPr>
          <w:p>
            <w:pPr>
              <w:spacing w:after="40" w:before="40" w:line="240" w:lineRule="auto"/>
            </w:pPr>
            <w:r/>
            <w:r>
              <w:rPr>
                <w:b w:val="0"/>
                <w:i w:val="0"/>
                <w:sz w:val="17"/>
              </w:rPr>
              <w:t>Provide a representative investigational label bearing “Caution: New Drug - Limited by Federal Law to Investigational Use” per 21 CFR 312.6.</w:t>
            </w:r>
          </w:p>
        </w:tc>
        <w:tc>
          <w:tcPr>
            <w:tcW w:type="dxa" w:w="1368"/>
            <w:shd w:val="clear" w:color="auto" w:fill="F2F5F8"/>
          </w:tcPr>
          <w:p>
            <w:pPr>
              <w:spacing w:after="40" w:before="40" w:line="240" w:lineRule="auto"/>
            </w:pPr>
            <w:r/>
            <w:r>
              <w:rPr>
                <w:b w:val="0"/>
                <w:i w:val="0"/>
                <w:sz w:val="17"/>
              </w:rPr>
              <w:t>Request</w:t>
            </w:r>
          </w:p>
        </w:tc>
        <w:tc>
          <w:tcPr>
            <w:tcW w:type="dxa" w:w="1008"/>
            <w:shd w:val="clear" w:color="auto" w:fill="F2F5F8"/>
          </w:tcPr>
          <w:p>
            <w:pPr>
              <w:spacing w:after="40" w:before="40" w:line="240" w:lineRule="auto"/>
            </w:pPr>
            <w:r/>
            <w:r>
              <w:rPr>
                <w:b w:val="0"/>
                <w:i w:val="0"/>
                <w:sz w:val="17"/>
              </w:rPr>
              <w:t>SR-2</w:t>
            </w:r>
          </w:p>
        </w:tc>
        <w:tc>
          <w:tcPr>
            <w:tcW w:type="dxa" w:w="4176"/>
            <w:shd w:val="clear" w:color="auto" w:fill="F2F5F8"/>
          </w:tcPr>
          <w:p>
            <w:pPr>
              <w:spacing w:after="40" w:before="40" w:line="240" w:lineRule="auto"/>
            </w:pPr>
            <w:r/>
            <w:r>
              <w:rPr>
                <w:b w:val="0"/>
                <w:i w:val="0"/>
                <w:sz w:val="17"/>
              </w:rPr>
              <w:t>Provide the representative label in SR-2, with the caution statement reproduced verbatim including punctuation. Verify the label in use at the clinical site matches what is filed.</w:t>
            </w:r>
          </w:p>
        </w:tc>
      </w:tr>
      <w:tr>
        <w:tc>
          <w:tcPr>
            <w:tcW w:type="dxa" w:w="504"/>
          </w:tcPr>
          <w:p>
            <w:pPr>
              <w:spacing w:after="40" w:before="40" w:line="240" w:lineRule="auto"/>
            </w:pPr>
            <w:r/>
            <w:r>
              <w:rPr>
                <w:b w:val="0"/>
                <w:i w:val="0"/>
                <w:sz w:val="17"/>
              </w:rPr>
              <w:t>13</w:t>
            </w:r>
          </w:p>
        </w:tc>
        <w:tc>
          <w:tcPr>
            <w:tcW w:type="dxa" w:w="2736"/>
          </w:tcPr>
          <w:p>
            <w:pPr>
              <w:spacing w:after="40" w:before="40" w:line="240" w:lineRule="auto"/>
            </w:pPr>
            <w:r/>
            <w:r>
              <w:rPr>
                <w:b w:val="0"/>
                <w:i w:val="0"/>
                <w:sz w:val="17"/>
              </w:rPr>
              <w:t>Stability data are adequate for the proposed study; refer to ICH Q1A(R2) for data expected to support any potential NDA.</w:t>
            </w:r>
          </w:p>
        </w:tc>
        <w:tc>
          <w:tcPr>
            <w:tcW w:type="dxa" w:w="1368"/>
          </w:tcPr>
          <w:p>
            <w:pPr>
              <w:spacing w:after="40" w:before="40" w:line="240" w:lineRule="auto"/>
            </w:pPr>
            <w:r/>
            <w:r>
              <w:rPr>
                <w:b w:val="0"/>
                <w:i w:val="0"/>
                <w:sz w:val="17"/>
              </w:rPr>
              <w:t>Recommendation, adequacy confirmed</w:t>
            </w:r>
          </w:p>
        </w:tc>
        <w:tc>
          <w:tcPr>
            <w:tcW w:type="dxa" w:w="1008"/>
          </w:tcPr>
          <w:p>
            <w:pPr>
              <w:spacing w:after="40" w:before="40" w:line="240" w:lineRule="auto"/>
            </w:pPr>
            <w:r/>
            <w:r>
              <w:rPr>
                <w:b w:val="0"/>
                <w:i w:val="0"/>
                <w:sz w:val="17"/>
              </w:rPr>
              <w:t>SR-2</w:t>
            </w:r>
          </w:p>
        </w:tc>
        <w:tc>
          <w:tcPr>
            <w:tcW w:type="dxa" w:w="4176"/>
          </w:tcPr>
          <w:p>
            <w:pPr>
              <w:spacing w:after="40" w:before="40" w:line="240" w:lineRule="auto"/>
            </w:pPr>
            <w:r/>
            <w:r>
              <w:rPr>
                <w:b w:val="0"/>
                <w:i w:val="0"/>
                <w:sz w:val="17"/>
              </w:rPr>
              <w:t>Acknowledge; no present change.</w:t>
            </w:r>
          </w:p>
        </w:tc>
      </w:tr>
      <w:tr>
        <w:tc>
          <w:tcPr>
            <w:tcW w:type="dxa" w:w="504"/>
            <w:shd w:val="clear" w:color="auto" w:fill="F2F5F8"/>
          </w:tcPr>
          <w:p>
            <w:pPr>
              <w:spacing w:after="40" w:before="40" w:line="240" w:lineRule="auto"/>
            </w:pPr>
            <w:r/>
            <w:r>
              <w:rPr>
                <w:b w:val="0"/>
                <w:i w:val="0"/>
                <w:sz w:val="17"/>
              </w:rPr>
              <w:t>14</w:t>
            </w:r>
          </w:p>
        </w:tc>
        <w:tc>
          <w:tcPr>
            <w:tcW w:type="dxa" w:w="2736"/>
            <w:shd w:val="clear" w:color="auto" w:fill="F2F5F8"/>
          </w:tcPr>
          <w:p>
            <w:pPr>
              <w:spacing w:after="40" w:before="40" w:line="240" w:lineRule="auto"/>
            </w:pPr>
            <w:r/>
            <w:r>
              <w:rPr>
                <w:b w:val="0"/>
                <w:i w:val="0"/>
                <w:sz w:val="17"/>
              </w:rPr>
              <w:t>Provide in-use stability data supporting dilution of the drug product prior to administration.</w:t>
            </w:r>
          </w:p>
        </w:tc>
        <w:tc>
          <w:tcPr>
            <w:tcW w:type="dxa" w:w="1368"/>
            <w:shd w:val="clear" w:color="auto" w:fill="F2F5F8"/>
          </w:tcPr>
          <w:p>
            <w:pPr>
              <w:spacing w:after="40" w:before="40" w:line="240" w:lineRule="auto"/>
            </w:pPr>
            <w:r/>
            <w:r>
              <w:rPr>
                <w:b w:val="0"/>
                <w:i w:val="0"/>
                <w:sz w:val="17"/>
              </w:rPr>
              <w:t>Request</w:t>
            </w:r>
          </w:p>
        </w:tc>
        <w:tc>
          <w:tcPr>
            <w:tcW w:type="dxa" w:w="1008"/>
            <w:shd w:val="clear" w:color="auto" w:fill="F2F5F8"/>
          </w:tcPr>
          <w:p>
            <w:pPr>
              <w:spacing w:after="40" w:before="40" w:line="240" w:lineRule="auto"/>
            </w:pPr>
            <w:r/>
            <w:r>
              <w:rPr>
                <w:b w:val="0"/>
                <w:i w:val="0"/>
                <w:sz w:val="17"/>
              </w:rPr>
              <w:t>SR-2</w:t>
            </w:r>
          </w:p>
        </w:tc>
        <w:tc>
          <w:tcPr>
            <w:tcW w:type="dxa" w:w="4176"/>
            <w:shd w:val="clear" w:color="auto" w:fill="F2F5F8"/>
          </w:tcPr>
          <w:p>
            <w:pPr>
              <w:spacing w:after="40" w:before="40" w:line="240" w:lineRule="auto"/>
            </w:pPr>
            <w:r/>
            <w:r>
              <w:rPr>
                <w:b w:val="0"/>
                <w:i w:val="0"/>
                <w:sz w:val="17"/>
              </w:rPr>
              <w:t>Generate and file. Treat as the highest-priority CMC item in SR-2: it concerns a manipulation performed at the bedside in Partition A, which is dosing now.</w:t>
            </w:r>
          </w:p>
        </w:tc>
      </w:tr>
    </w:tbl>
    <w:p>
      <w:pPr>
        <w:spacing w:after="40"/>
      </w:pPr>
    </w:p>
    <w:p>
      <w:pPr>
        <w:spacing w:after="100"/>
        <w:ind w:left="461" w:hanging="461"/>
      </w:pPr>
      <w:r>
        <w:rPr>
          <w:b/>
        </w:rPr>
        <w:t xml:space="preserve">7.1  </w:t>
      </w:r>
      <w:r>
        <w:t>Each item above shall be answered in SR-2 or SR-3 on its own terms, including the items where the letter confirms adequacy. Silence on a numbered comment is a defect in the amendment.</w:t>
      </w:r>
    </w:p>
    <w:p>
      <w:pPr>
        <w:spacing w:after="100"/>
        <w:ind w:left="461" w:hanging="461"/>
      </w:pPr>
      <w:r>
        <w:rPr>
          <w:b/>
        </w:rPr>
        <w:t xml:space="preserve">7.2  </w:t>
      </w:r>
      <w:r>
        <w:t>Where the sponsor declines a recommendation, SR-2 shall say so plainly and give the reason. Recommendations are not requirements; unexplained non-adoption is nonetheless a poor record to carry into the next review cycle.</w:t>
      </w:r>
    </w:p>
    <w:p>
      <w:pPr>
        <w:spacing w:after="100"/>
        <w:ind w:left="461" w:hanging="461"/>
      </w:pPr>
      <w:r>
        <w:rPr>
          <w:b/>
        </w:rPr>
        <w:t xml:space="preserve">7.3  </w:t>
      </w:r>
      <w:r>
        <w:t>No item in this Article may be cited in SR-1, and no item in this Article may be represented internally as bearing on the resumption of the presymptomatic study.</w:t>
      </w:r>
    </w:p>
    <w:p>
      <w:r>
        <w:br w:type="page"/>
      </w:r>
    </w:p>
    <w:p>
      <w:pPr>
        <w:pStyle w:val="Heading1"/>
      </w:pPr>
      <w:r>
        <w:t>Article 8 — Reconciliation with the circulated internal materials</w:t>
      </w:r>
    </w:p>
    <w:p>
      <w:r>
        <w:rPr>
          <w:b w:val="0"/>
          <w:i/>
          <w:sz w:val="19"/>
        </w:rPr>
        <w:t>Each internal position that bears on the hold is set against the letter and adjudicated. Rulings are binding.</w:t>
      </w:r>
    </w:p>
    <w:tbl>
      <w:tblPr>
        <w:tblStyle w:val="TableGrid"/>
        <w:tblW w:type="auto" w:w="0"/>
        <w:jc w:val="center"/>
        <w:tblLook w:firstColumn="1" w:firstRow="1" w:lastColumn="0" w:lastRow="0" w:noHBand="0" w:noVBand="1" w:val="04A0"/>
      </w:tblPr>
      <w:tblGrid>
        <w:gridCol w:w="2412"/>
        <w:gridCol w:w="2412"/>
        <w:gridCol w:w="2412"/>
        <w:gridCol w:w="2412"/>
      </w:tblGrid>
      <w:tr>
        <w:trPr>
          <w:tblHeader/>
        </w:trPr>
        <w:tc>
          <w:tcPr>
            <w:tcW w:type="dxa" w:w="720"/>
            <w:shd w:val="clear" w:color="auto" w:fill="1F3B57"/>
          </w:tcPr>
          <w:p>
            <w:pPr>
              <w:spacing w:after="40" w:before="40" w:line="240" w:lineRule="auto"/>
            </w:pPr>
            <w:r>
              <w:rPr>
                <w:color w:val="FFFFFF"/>
              </w:rPr>
            </w:r>
            <w:r>
              <w:rPr>
                <w:b/>
                <w:i w:val="0"/>
                <w:color w:val="FFFFFF"/>
                <w:sz w:val="17"/>
              </w:rPr>
              <w:t>Ruling</w:t>
            </w:r>
          </w:p>
        </w:tc>
        <w:tc>
          <w:tcPr>
            <w:tcW w:type="dxa" w:w="2808"/>
            <w:shd w:val="clear" w:color="auto" w:fill="1F3B57"/>
          </w:tcPr>
          <w:p>
            <w:pPr>
              <w:spacing w:after="40" w:before="40" w:line="240" w:lineRule="auto"/>
            </w:pPr>
            <w:r>
              <w:rPr>
                <w:color w:val="FFFFFF"/>
              </w:rPr>
            </w:r>
            <w:r>
              <w:rPr>
                <w:b/>
                <w:i w:val="0"/>
                <w:color w:val="FFFFFF"/>
                <w:sz w:val="17"/>
              </w:rPr>
              <w:t>Internal position</w:t>
            </w:r>
          </w:p>
        </w:tc>
        <w:tc>
          <w:tcPr>
            <w:tcW w:type="dxa" w:w="2520"/>
            <w:shd w:val="clear" w:color="auto" w:fill="1F3B57"/>
          </w:tcPr>
          <w:p>
            <w:pPr>
              <w:spacing w:after="40" w:before="40" w:line="240" w:lineRule="auto"/>
            </w:pPr>
            <w:r>
              <w:rPr>
                <w:color w:val="FFFFFF"/>
              </w:rPr>
            </w:r>
            <w:r>
              <w:rPr>
                <w:b/>
                <w:i w:val="0"/>
                <w:color w:val="FFFFFF"/>
                <w:sz w:val="17"/>
              </w:rPr>
              <w:t>What the letter says</w:t>
            </w:r>
          </w:p>
        </w:tc>
        <w:tc>
          <w:tcPr>
            <w:tcW w:type="dxa" w:w="3744"/>
            <w:shd w:val="clear" w:color="auto" w:fill="1F3B57"/>
          </w:tcPr>
          <w:p>
            <w:pPr>
              <w:spacing w:after="40" w:before="40" w:line="240" w:lineRule="auto"/>
            </w:pPr>
            <w:r>
              <w:rPr>
                <w:color w:val="FFFFFF"/>
              </w:rPr>
            </w:r>
            <w:r>
              <w:rPr>
                <w:b/>
                <w:i w:val="0"/>
                <w:color w:val="FFFFFF"/>
                <w:sz w:val="17"/>
              </w:rPr>
              <w:t>Ruling</w:t>
            </w:r>
          </w:p>
        </w:tc>
      </w:tr>
      <w:tr>
        <w:tc>
          <w:tcPr>
            <w:tcW w:type="dxa" w:w="720"/>
          </w:tcPr>
          <w:p>
            <w:pPr>
              <w:spacing w:after="40" w:before="40" w:line="240" w:lineRule="auto"/>
            </w:pPr>
            <w:r/>
            <w:r>
              <w:rPr>
                <w:b w:val="0"/>
                <w:i w:val="0"/>
                <w:sz w:val="17"/>
              </w:rPr>
              <w:t>A-1</w:t>
            </w:r>
          </w:p>
        </w:tc>
        <w:tc>
          <w:tcPr>
            <w:tcW w:type="dxa" w:w="2808"/>
          </w:tcPr>
          <w:p>
            <w:pPr>
              <w:spacing w:after="40" w:before="40" w:line="240" w:lineRule="auto"/>
            </w:pPr>
            <w:r/>
            <w:r>
              <w:rPr>
                <w:b w:val="0"/>
                <w:i w:val="0"/>
                <w:sz w:val="17"/>
              </w:rPr>
              <w:t>REGOPS-MEMO-2025-04-02 §1: lead the complete response with a scientific rebuttal arguing the cynomolgus study is confirmatory rather than gating; offer the GLP cynomolgus programme as a fallback commitment with a negotiated start date only if the rebuttal fails.</w:t>
            </w:r>
          </w:p>
        </w:tc>
        <w:tc>
          <w:tcPr>
            <w:tcW w:type="dxa" w:w="2520"/>
          </w:tcPr>
          <w:p>
            <w:pPr>
              <w:spacing w:after="40" w:before="40" w:line="240" w:lineRule="auto"/>
            </w:pPr>
            <w:r/>
            <w:r>
              <w:rPr>
                <w:b w:val="0"/>
                <w:i w:val="0"/>
                <w:sz w:val="17"/>
              </w:rPr>
              <w:t>“To support initiation of the proposed study in presymptomatic patients, you will need to conduct a GLP-compliant intrathecal toxicity study in cynomolgus monkey.” Studies on hold “may not be initiated until you have submitted the required information and we notify you…”</w:t>
            </w:r>
          </w:p>
        </w:tc>
        <w:tc>
          <w:tcPr>
            <w:tcW w:type="dxa" w:w="3744"/>
          </w:tcPr>
          <w:p>
            <w:pPr>
              <w:spacing w:after="40" w:before="40" w:line="240" w:lineRule="auto"/>
            </w:pPr>
            <w:r/>
            <w:r>
              <w:rPr>
                <w:b w:val="0"/>
                <w:i w:val="0"/>
                <w:sz w:val="17"/>
              </w:rPr>
              <w:t>REJECTED. The study is gating, in the letter’s own words. A rebuttal-led response is a response that does not contain the required information; the predictable outcome is an incomplete-response finding with no clock start, which costs the programme a full cycle. The GLP cynomolgus study is the primary path, not the fallback. See 4.4.1.</w:t>
            </w:r>
          </w:p>
        </w:tc>
      </w:tr>
      <w:tr>
        <w:tc>
          <w:tcPr>
            <w:tcW w:type="dxa" w:w="720"/>
            <w:shd w:val="clear" w:color="auto" w:fill="F2F5F8"/>
          </w:tcPr>
          <w:p>
            <w:pPr>
              <w:spacing w:after="40" w:before="40" w:line="240" w:lineRule="auto"/>
            </w:pPr>
            <w:r/>
            <w:r>
              <w:rPr>
                <w:b w:val="0"/>
                <w:i w:val="0"/>
                <w:sz w:val="17"/>
              </w:rPr>
              <w:t>A-2</w:t>
            </w:r>
          </w:p>
        </w:tc>
        <w:tc>
          <w:tcPr>
            <w:tcW w:type="dxa" w:w="2808"/>
            <w:shd w:val="clear" w:color="auto" w:fill="F2F5F8"/>
          </w:tcPr>
          <w:p>
            <w:pPr>
              <w:spacing w:after="40" w:before="40" w:line="240" w:lineRule="auto"/>
            </w:pPr>
            <w:r/>
            <w:r>
              <w:rPr>
                <w:b w:val="0"/>
                <w:i w:val="0"/>
                <w:sz w:val="17"/>
              </w:rPr>
              <w:t>REGOPS-MEMO-2025-04-02 §3 and REGOPS-DRAFT-2025-04-09 §§1, 4: carry the non-hold responses in the same submission as the hold response, flagged for parallel review.</w:t>
            </w:r>
          </w:p>
        </w:tc>
        <w:tc>
          <w:tcPr>
            <w:tcW w:type="dxa" w:w="2520"/>
            <w:shd w:val="clear" w:color="auto" w:fill="F2F5F8"/>
          </w:tcPr>
          <w:p>
            <w:pPr>
              <w:spacing w:after="40" w:before="40" w:line="240" w:lineRule="auto"/>
            </w:pPr>
            <w:r/>
            <w:r>
              <w:rPr>
                <w:b w:val="0"/>
                <w:i w:val="0"/>
                <w:sz w:val="17"/>
              </w:rPr>
              <w:t>“Your responses to any non-hold issues should be addressed in a separate amendment to the IND.”</w:t>
            </w:r>
          </w:p>
        </w:tc>
        <w:tc>
          <w:tcPr>
            <w:tcW w:type="dxa" w:w="3744"/>
            <w:shd w:val="clear" w:color="auto" w:fill="F2F5F8"/>
          </w:tcPr>
          <w:p>
            <w:pPr>
              <w:spacing w:after="40" w:before="40" w:line="240" w:lineRule="auto"/>
            </w:pPr>
            <w:r/>
            <w:r>
              <w:rPr>
                <w:b w:val="0"/>
                <w:i w:val="0"/>
                <w:sz w:val="17"/>
              </w:rPr>
              <w:t>REJECTED. Two submissions: SR-1 and SR-2 (with SR-3 as needed). See 5.1.</w:t>
            </w:r>
          </w:p>
        </w:tc>
      </w:tr>
      <w:tr>
        <w:tc>
          <w:tcPr>
            <w:tcW w:type="dxa" w:w="720"/>
          </w:tcPr>
          <w:p>
            <w:pPr>
              <w:spacing w:after="40" w:before="40" w:line="240" w:lineRule="auto"/>
            </w:pPr>
            <w:r/>
            <w:r>
              <w:rPr>
                <w:b w:val="0"/>
                <w:i w:val="0"/>
                <w:sz w:val="17"/>
              </w:rPr>
              <w:t>A-3</w:t>
            </w:r>
          </w:p>
        </w:tc>
        <w:tc>
          <w:tcPr>
            <w:tcW w:type="dxa" w:w="2808"/>
          </w:tcPr>
          <w:p>
            <w:pPr>
              <w:spacing w:after="40" w:before="40" w:line="240" w:lineRule="auto"/>
            </w:pPr>
            <w:r/>
            <w:r>
              <w:rPr>
                <w:b w:val="0"/>
                <w:i w:val="0"/>
                <w:sz w:val="17"/>
              </w:rPr>
              <w:t>REGOPS-DRAFT-2025-04-09 §3: on submission of the complete response the presymptomatic protocol may resume initiation activities, and dosing may commence 30 days after submission unless the Agency objects within the statutory review period.</w:t>
            </w:r>
          </w:p>
        </w:tc>
        <w:tc>
          <w:tcPr>
            <w:tcW w:type="dxa" w:w="2520"/>
          </w:tcPr>
          <w:p>
            <w:pPr>
              <w:spacing w:after="40" w:before="40" w:line="240" w:lineRule="auto"/>
            </w:pPr>
            <w:r/>
            <w:r>
              <w:rPr>
                <w:b w:val="0"/>
                <w:i w:val="0"/>
                <w:sz w:val="17"/>
              </w:rPr>
              <w:t>Held studies “may not be initiated until you have submitted the required information and we notify you that you may initiate these clinical studies.” FDA “will notify you of our decision within 30 days” following receipt of the complete response.</w:t>
            </w:r>
          </w:p>
        </w:tc>
        <w:tc>
          <w:tcPr>
            <w:tcW w:type="dxa" w:w="3744"/>
          </w:tcPr>
          <w:p>
            <w:pPr>
              <w:spacing w:after="40" w:before="40" w:line="240" w:lineRule="auto"/>
            </w:pPr>
            <w:r/>
            <w:r>
              <w:rPr>
                <w:b w:val="0"/>
                <w:i w:val="0"/>
                <w:sz w:val="17"/>
              </w:rPr>
              <w:t>REJECTED, and flagged as the most serious defect in the circulated materials. There is no tacit authorisation and no negative-consent mechanism. The 30 days is the Agency’s commitment to decide, not a sponsor permission clock. The draft cites 21 CFR 312.42(e) in support; that provision conditions resumption on FDA notification and so contradicts the conclusion drawn from it. Acting on this paragraph would mean initiating a study under clinical hold. See 6.2.1.</w:t>
            </w:r>
          </w:p>
        </w:tc>
      </w:tr>
      <w:tr>
        <w:tc>
          <w:tcPr>
            <w:tcW w:type="dxa" w:w="720"/>
            <w:shd w:val="clear" w:color="auto" w:fill="F2F5F8"/>
          </w:tcPr>
          <w:p>
            <w:pPr>
              <w:spacing w:after="40" w:before="40" w:line="240" w:lineRule="auto"/>
            </w:pPr>
            <w:r/>
            <w:r>
              <w:rPr>
                <w:b w:val="0"/>
                <w:i w:val="0"/>
                <w:sz w:val="17"/>
              </w:rPr>
              <w:t>A-4</w:t>
            </w:r>
          </w:p>
        </w:tc>
        <w:tc>
          <w:tcPr>
            <w:tcW w:type="dxa" w:w="2808"/>
            <w:shd w:val="clear" w:color="auto" w:fill="F2F5F8"/>
          </w:tcPr>
          <w:p>
            <w:pPr>
              <w:spacing w:after="40" w:before="40" w:line="240" w:lineRule="auto"/>
            </w:pPr>
            <w:r/>
            <w:r>
              <w:rPr>
                <w:b w:val="0"/>
                <w:i w:val="0"/>
                <w:sz w:val="17"/>
              </w:rPr>
              <w:t>REGOPS-MEMO-2025-04-02 §2: begin site activation logistics in parallel — feasibility questionnaires, pharmacy preparation, and pre-screening of genotype-confirmed candidates — as preparatory activities that do not constitute initiation.</w:t>
            </w:r>
          </w:p>
        </w:tc>
        <w:tc>
          <w:tcPr>
            <w:tcW w:type="dxa" w:w="2520"/>
            <w:shd w:val="clear" w:color="auto" w:fill="F2F5F8"/>
          </w:tcPr>
          <w:p>
            <w:pPr>
              <w:spacing w:after="40" w:before="40" w:line="240" w:lineRule="auto"/>
            </w:pPr>
            <w:r/>
            <w:r>
              <w:rPr>
                <w:b w:val="0"/>
                <w:i w:val="0"/>
                <w:sz w:val="17"/>
              </w:rPr>
              <w:t>The held protocol “may not be initiated.” The letter does not define initiation.</w:t>
            </w:r>
          </w:p>
        </w:tc>
        <w:tc>
          <w:tcPr>
            <w:tcW w:type="dxa" w:w="3744"/>
            <w:shd w:val="clear" w:color="auto" w:fill="F2F5F8"/>
          </w:tcPr>
          <w:p>
            <w:pPr>
              <w:spacing w:after="40" w:before="40" w:line="240" w:lineRule="auto"/>
            </w:pPr>
            <w:r/>
            <w:r>
              <w:rPr>
                <w:b w:val="0"/>
                <w:i w:val="0"/>
                <w:sz w:val="17"/>
              </w:rPr>
              <w:t>SPLIT. Institution-facing feasibility work and pharmacy preparation are PERMITTED. Pre-screening of genotype-confirmed candidates is PROHIBITED: it is subject-facing conduct of a held protocol and cannot be recharacterised as logistics. The memo’s framing treats a single category as uniformly safe; it is not. See 3.1.</w:t>
            </w:r>
          </w:p>
        </w:tc>
      </w:tr>
      <w:tr>
        <w:tc>
          <w:tcPr>
            <w:tcW w:type="dxa" w:w="720"/>
          </w:tcPr>
          <w:p>
            <w:pPr>
              <w:spacing w:after="40" w:before="40" w:line="240" w:lineRule="auto"/>
            </w:pPr>
            <w:r/>
            <w:r>
              <w:rPr>
                <w:b w:val="0"/>
                <w:i w:val="0"/>
                <w:sz w:val="17"/>
              </w:rPr>
              <w:t>A-5</w:t>
            </w:r>
          </w:p>
        </w:tc>
        <w:tc>
          <w:tcPr>
            <w:tcW w:type="dxa" w:w="2808"/>
          </w:tcPr>
          <w:p>
            <w:pPr>
              <w:spacing w:after="40" w:before="40" w:line="240" w:lineRule="auto"/>
            </w:pPr>
            <w:r/>
            <w:r>
              <w:rPr>
                <w:b w:val="0"/>
                <w:i w:val="0"/>
                <w:sz w:val="17"/>
              </w:rPr>
              <w:t>NONCLIN-MINUTES-2025-04-08 Option A: an 8-week repeat-dose intrathecal study in beagle dog, on the existing vendor relationship, as the fastest defensible path to a GLP report addressing the deficiency.</w:t>
            </w:r>
          </w:p>
        </w:tc>
        <w:tc>
          <w:tcPr>
            <w:tcW w:type="dxa" w:w="2520"/>
          </w:tcPr>
          <w:p>
            <w:pPr>
              <w:spacing w:after="40" w:before="40" w:line="240" w:lineRule="auto"/>
            </w:pPr>
            <w:r/>
            <w:r>
              <w:rPr>
                <w:b w:val="0"/>
                <w:i w:val="0"/>
                <w:sz w:val="17"/>
              </w:rPr>
              <w:t>The deficiency is that 2439-exNA is not pharmacologically active in rat or dog so on-target effects were not assessed; the required study is in cynomolgus monkey.</w:t>
            </w:r>
          </w:p>
        </w:tc>
        <w:tc>
          <w:tcPr>
            <w:tcW w:type="dxa" w:w="3744"/>
          </w:tcPr>
          <w:p>
            <w:pPr>
              <w:spacing w:after="40" w:before="40" w:line="240" w:lineRule="auto"/>
            </w:pPr>
            <w:r/>
            <w:r>
              <w:rPr>
                <w:b w:val="0"/>
                <w:i w:val="0"/>
                <w:sz w:val="17"/>
              </w:rPr>
              <w:t>REJECTED as a hold cure. The chair’s objection recorded in the minutes is correct and is adopted: a dog study does not measure on-target toxicity in a responsive species, which is the whole of the deficiency. Speed is not a defence; a fast non-responsive study answers a question the Division did not ask. Option A may proceed only on independent programme grounds under 5.4.1.</w:t>
            </w:r>
          </w:p>
        </w:tc>
      </w:tr>
      <w:tr>
        <w:tc>
          <w:tcPr>
            <w:tcW w:type="dxa" w:w="720"/>
            <w:shd w:val="clear" w:color="auto" w:fill="F2F5F8"/>
          </w:tcPr>
          <w:p>
            <w:pPr>
              <w:spacing w:after="40" w:before="40" w:line="240" w:lineRule="auto"/>
            </w:pPr>
            <w:r/>
            <w:r>
              <w:rPr>
                <w:b w:val="0"/>
                <w:i w:val="0"/>
                <w:sz w:val="17"/>
              </w:rPr>
              <w:t>A-6</w:t>
            </w:r>
          </w:p>
        </w:tc>
        <w:tc>
          <w:tcPr>
            <w:tcW w:type="dxa" w:w="2808"/>
            <w:shd w:val="clear" w:color="auto" w:fill="F2F5F8"/>
          </w:tcPr>
          <w:p>
            <w:pPr>
              <w:spacing w:after="40" w:before="40" w:line="240" w:lineRule="auto"/>
            </w:pPr>
            <w:r/>
            <w:r>
              <w:rPr>
                <w:b w:val="0"/>
                <w:i w:val="0"/>
                <w:sz w:val="17"/>
              </w:rPr>
              <w:t>NONCLIN-MINUTES-2025-04-08 Option B: repeat-dose intrathecal cynomolgus study, duration aligned to or exceeding the proposed clinical dosing interval; higher cost, longer lead time, no vendor slot.</w:t>
            </w:r>
          </w:p>
        </w:tc>
        <w:tc>
          <w:tcPr>
            <w:tcW w:type="dxa" w:w="2520"/>
            <w:shd w:val="clear" w:color="auto" w:fill="F2F5F8"/>
          </w:tcPr>
          <w:p>
            <w:pPr>
              <w:spacing w:after="40" w:before="40" w:line="240" w:lineRule="auto"/>
            </w:pPr>
            <w:r/>
            <w:r>
              <w:rPr>
                <w:b w:val="0"/>
                <w:i w:val="0"/>
                <w:sz w:val="17"/>
              </w:rPr>
              <w:t>As R-8, with duration “similar to or greater than that proposed for humans.”</w:t>
            </w:r>
          </w:p>
        </w:tc>
        <w:tc>
          <w:tcPr>
            <w:tcW w:type="dxa" w:w="3744"/>
            <w:shd w:val="clear" w:color="auto" w:fill="F2F5F8"/>
          </w:tcPr>
          <w:p>
            <w:pPr>
              <w:spacing w:after="40" w:before="40" w:line="240" w:lineRule="auto"/>
            </w:pPr>
            <w:r/>
            <w:r>
              <w:rPr>
                <w:b w:val="0"/>
                <w:i w:val="0"/>
                <w:sz w:val="17"/>
              </w:rPr>
              <w:t>ADOPTED as to species, route and GLP status, with two corrections: (i) the comparator is the duration proposed for humans, not the clinical dosing interval — the clinical regimen is a single dose; and (ii) in-life duration shall be ≥168 days per 4.3.1. Cost and lead time are not grounds to redesign. Vendor capacity is addressed at 5.4.2.</w:t>
            </w:r>
          </w:p>
        </w:tc>
      </w:tr>
      <w:tr>
        <w:tc>
          <w:tcPr>
            <w:tcW w:type="dxa" w:w="720"/>
          </w:tcPr>
          <w:p>
            <w:pPr>
              <w:spacing w:after="40" w:before="40" w:line="240" w:lineRule="auto"/>
            </w:pPr>
            <w:r/>
            <w:r>
              <w:rPr>
                <w:b w:val="0"/>
                <w:i w:val="0"/>
                <w:sz w:val="17"/>
              </w:rPr>
              <w:t>A-7</w:t>
            </w:r>
          </w:p>
        </w:tc>
        <w:tc>
          <w:tcPr>
            <w:tcW w:type="dxa" w:w="2808"/>
          </w:tcPr>
          <w:p>
            <w:pPr>
              <w:spacing w:after="40" w:before="40" w:line="240" w:lineRule="auto"/>
            </w:pPr>
            <w:r/>
            <w:r>
              <w:rPr>
                <w:b w:val="0"/>
                <w:i w:val="0"/>
                <w:sz w:val="17"/>
              </w:rPr>
              <w:t>REGOPS-DRAFT-2025-04-09 §2: “the completed single-dose GLP studies A-703-01 (dog) and A-703-02 (rat) are summarized in Module 4 as the pivotal safety basis”; and NONCLIN-MINUTES-2025-04-08, “the rat GLP package (A-703-02)”.</w:t>
            </w:r>
          </w:p>
        </w:tc>
        <w:tc>
          <w:tcPr>
            <w:tcW w:type="dxa" w:w="2520"/>
          </w:tcPr>
          <w:p>
            <w:pPr>
              <w:spacing w:after="40" w:before="40" w:line="240" w:lineRule="auto"/>
            </w:pPr>
            <w:r/>
            <w:r>
              <w:rPr>
                <w:b w:val="0"/>
                <w:i w:val="0"/>
                <w:sz w:val="17"/>
              </w:rPr>
              <w:t>The nonclinical data on file are adequate for the symptomatic study and not adequate for the presymptomatic study.</w:t>
            </w:r>
          </w:p>
        </w:tc>
        <w:tc>
          <w:tcPr>
            <w:tcW w:type="dxa" w:w="3744"/>
          </w:tcPr>
          <w:p>
            <w:pPr>
              <w:spacing w:after="40" w:before="40" w:line="240" w:lineRule="auto"/>
            </w:pPr>
            <w:r/>
            <w:r>
              <w:rPr>
                <w:b w:val="0"/>
                <w:i w:val="0"/>
                <w:sz w:val="17"/>
              </w:rPr>
              <w:t>CORRECTED on the facts and REJECTED on the characterisation. A-703-01 is the rat study (Sprague Dawley, single intrathecal dose, 28-day recovery, GLP; REPORT-00611); A-703-02 is the dog study (single intrathecal dose, 28-day recovery, GLP; REPORT-00664). The draft reverses the species and the minutes repeat the reversal in the other direction. Neither study is the pivotal safety basis for the presymptomatic protocol; the letter holds the opposite. Filing a submission that misstates the species of a pivotal GLP study is an avoidable credibility injury.</w:t>
            </w:r>
          </w:p>
        </w:tc>
      </w:tr>
      <w:tr>
        <w:tc>
          <w:tcPr>
            <w:tcW w:type="dxa" w:w="720"/>
            <w:shd w:val="clear" w:color="auto" w:fill="F2F5F8"/>
          </w:tcPr>
          <w:p>
            <w:pPr>
              <w:spacing w:after="40" w:before="40" w:line="240" w:lineRule="auto"/>
            </w:pPr>
            <w:r/>
            <w:r>
              <w:rPr>
                <w:b w:val="0"/>
                <w:i w:val="0"/>
                <w:sz w:val="17"/>
              </w:rPr>
              <w:t>A-8</w:t>
            </w:r>
          </w:p>
        </w:tc>
        <w:tc>
          <w:tcPr>
            <w:tcW w:type="dxa" w:w="2808"/>
            <w:shd w:val="clear" w:color="auto" w:fill="F2F5F8"/>
          </w:tcPr>
          <w:p>
            <w:pPr>
              <w:spacing w:after="40" w:before="40" w:line="240" w:lineRule="auto"/>
            </w:pPr>
            <w:r/>
            <w:r>
              <w:rPr>
                <w:b w:val="0"/>
                <w:i w:val="0"/>
                <w:sz w:val="17"/>
              </w:rPr>
              <w:t>BA-MEMO-2025-03-19 §1: murine research-grade QC pools are fit-for-purpose bridging calibrators for human CSF PrP measurement while human-matrix qualification is pending, because PrP is the analyte regardless of source matrix.</w:t>
            </w:r>
          </w:p>
        </w:tc>
        <w:tc>
          <w:tcPr>
            <w:tcW w:type="dxa" w:w="2520"/>
            <w:shd w:val="clear" w:color="auto" w:fill="F2F5F8"/>
          </w:tcPr>
          <w:p>
            <w:pPr>
              <w:spacing w:after="40" w:before="40" w:line="240" w:lineRule="auto"/>
            </w:pPr>
            <w:r/>
            <w:r>
              <w:rPr>
                <w:b w:val="0"/>
                <w:i w:val="0"/>
                <w:sz w:val="17"/>
              </w:rPr>
              <w:t>Comment 4: confirm specificity and sensitivity “with both your proposed biological matrices and using appropriate control samples.”</w:t>
            </w:r>
          </w:p>
        </w:tc>
        <w:tc>
          <w:tcPr>
            <w:tcW w:type="dxa" w:w="3744"/>
            <w:shd w:val="clear" w:color="auto" w:fill="F2F5F8"/>
          </w:tcPr>
          <w:p>
            <w:pPr>
              <w:spacing w:after="40" w:before="40" w:line="240" w:lineRule="auto"/>
            </w:pPr>
            <w:r/>
            <w:r>
              <w:rPr>
                <w:b w:val="0"/>
                <w:i w:val="0"/>
                <w:sz w:val="17"/>
              </w:rPr>
              <w:t>NOT ADOPTED as written. The letter asks about the proposed biological matrix; murine pools are not that matrix, and human CSF is the matrix in which the assay will be used. The position may be advanced only inside a declared exploratory context of use (A-10) and shall not be described as satisfying comment 4. Add: symptomatic CSF PrP is expected to be lower than in non-prion neurological populations (a disease sink effect noted in the protocol’s own rationale), so cross-population comparability needs stating.</w:t>
            </w:r>
          </w:p>
        </w:tc>
      </w:tr>
      <w:tr>
        <w:tc>
          <w:tcPr>
            <w:tcW w:type="dxa" w:w="720"/>
          </w:tcPr>
          <w:p>
            <w:pPr>
              <w:spacing w:after="40" w:before="40" w:line="240" w:lineRule="auto"/>
            </w:pPr>
            <w:r/>
            <w:r>
              <w:rPr>
                <w:b w:val="0"/>
                <w:i w:val="0"/>
                <w:sz w:val="17"/>
              </w:rPr>
              <w:t>A-9</w:t>
            </w:r>
          </w:p>
        </w:tc>
        <w:tc>
          <w:tcPr>
            <w:tcW w:type="dxa" w:w="2808"/>
          </w:tcPr>
          <w:p>
            <w:pPr>
              <w:spacing w:after="40" w:before="40" w:line="240" w:lineRule="auto"/>
            </w:pPr>
            <w:r/>
            <w:r>
              <w:rPr>
                <w:b w:val="0"/>
                <w:i w:val="0"/>
                <w:sz w:val="17"/>
              </w:rPr>
              <w:t>BA-MEMO-2025-03-19 §2: a full validation protocol is not required before first-patient samples because the framing is exploratory; method performance is adequately described by the platform’s historical precision of about 9% within-individual CV. §4: do not gate clinical sample reporting on human-matrix qualification.</w:t>
            </w:r>
          </w:p>
        </w:tc>
        <w:tc>
          <w:tcPr>
            <w:tcW w:type="dxa" w:w="2520"/>
          </w:tcPr>
          <w:p>
            <w:pPr>
              <w:spacing w:after="40" w:before="40" w:line="240" w:lineRule="auto"/>
            </w:pPr>
            <w:r/>
            <w:r>
              <w:rPr>
                <w:b w:val="0"/>
                <w:i w:val="0"/>
                <w:sz w:val="17"/>
              </w:rPr>
              <w:t>Comment 4 is conditional on intended use to support efficacy, and is a non-hold recommendation.</w:t>
            </w:r>
          </w:p>
        </w:tc>
        <w:tc>
          <w:tcPr>
            <w:tcW w:type="dxa" w:w="3744"/>
          </w:tcPr>
          <w:p>
            <w:pPr>
              <w:spacing w:after="40" w:before="40" w:line="240" w:lineRule="auto"/>
            </w:pPr>
            <w:r/>
            <w:r>
              <w:rPr>
                <w:b w:val="0"/>
                <w:i w:val="0"/>
                <w:sz w:val="17"/>
              </w:rPr>
              <w:t>PARTLY SOUND, ONE FIGURE MISUSED. The conditional structure of comment 4 is correctly read: a genuinely exploratory context of use does not trigger a pre-first-sample validation requirement, and nothing in the letter gates Partition A dosing on assay validation. But the 9% within-individual coefficient of variation cited in the protocols is the biological test-retest reliability of CSF PrP in individuals over six years — it is not assay precision, and it cannot stand in for method performance data. Bioanalytical shall substitute actual assay precision and accuracy figures before this language reaches any submission.</w:t>
            </w:r>
          </w:p>
        </w:tc>
      </w:tr>
      <w:tr>
        <w:tc>
          <w:tcPr>
            <w:tcW w:type="dxa" w:w="720"/>
            <w:shd w:val="clear" w:color="auto" w:fill="F2F5F8"/>
          </w:tcPr>
          <w:p>
            <w:pPr>
              <w:spacing w:after="40" w:before="40" w:line="240" w:lineRule="auto"/>
            </w:pPr>
            <w:r/>
            <w:r>
              <w:rPr>
                <w:b w:val="0"/>
                <w:i w:val="0"/>
                <w:sz w:val="17"/>
              </w:rPr>
              <w:t>A-10</w:t>
            </w:r>
          </w:p>
        </w:tc>
        <w:tc>
          <w:tcPr>
            <w:tcW w:type="dxa" w:w="2808"/>
            <w:shd w:val="clear" w:color="auto" w:fill="F2F5F8"/>
          </w:tcPr>
          <w:p>
            <w:pPr>
              <w:spacing w:after="40" w:before="40" w:line="240" w:lineRule="auto"/>
            </w:pPr>
            <w:r/>
            <w:r>
              <w:rPr>
                <w:b w:val="0"/>
                <w:i w:val="0"/>
                <w:sz w:val="17"/>
              </w:rPr>
              <w:t>BA-MEMO-2025-03-19 §2: intent to report CSF PrP as exploratory pharmacodynamic endpoints supporting dose selection.</w:t>
            </w:r>
          </w:p>
        </w:tc>
        <w:tc>
          <w:tcPr>
            <w:tcW w:type="dxa" w:w="2520"/>
            <w:shd w:val="clear" w:color="auto" w:fill="F2F5F8"/>
          </w:tcPr>
          <w:p>
            <w:pPr>
              <w:spacing w:after="40" w:before="40" w:line="240" w:lineRule="auto"/>
            </w:pPr>
            <w:r/>
            <w:r>
              <w:rPr>
                <w:b w:val="0"/>
                <w:i w:val="0"/>
                <w:sz w:val="17"/>
              </w:rPr>
              <w:t>Comment 4 applies “if the intent is to use PrP levels as a biomarker to support efficacy.”</w:t>
            </w:r>
          </w:p>
        </w:tc>
        <w:tc>
          <w:tcPr>
            <w:tcW w:type="dxa" w:w="3744"/>
            <w:shd w:val="clear" w:color="auto" w:fill="F2F5F8"/>
          </w:tcPr>
          <w:p>
            <w:pPr>
              <w:spacing w:after="40" w:before="40" w:line="240" w:lineRule="auto"/>
            </w:pPr>
            <w:r/>
            <w:r>
              <w:rPr>
                <w:b w:val="0"/>
                <w:i w:val="0"/>
                <w:sz w:val="17"/>
              </w:rPr>
              <w:t>CONDITIONALLY ACCEPTED, WITH A DECLARATION REQUIRED. SR-2 shall state the context of use in writing and commit that PrP results will not be used to support efficacy claims unless and until SR-5 has been filed and the method validated for that use. Note the tension to manage: both protocols name CSF PrP as a secondary pharmacodynamic endpoint and the programme’s scientific case rests on target engagement, so an “exploratory only” declaration must be one the sponsor is willing to live inside.</w:t>
            </w:r>
          </w:p>
        </w:tc>
      </w:tr>
      <w:tr>
        <w:tc>
          <w:tcPr>
            <w:tcW w:type="dxa" w:w="720"/>
          </w:tcPr>
          <w:p>
            <w:pPr>
              <w:spacing w:after="40" w:before="40" w:line="240" w:lineRule="auto"/>
            </w:pPr>
            <w:r/>
            <w:r>
              <w:rPr>
                <w:b w:val="0"/>
                <w:i w:val="0"/>
                <w:sz w:val="17"/>
              </w:rPr>
              <w:t>A-11</w:t>
            </w:r>
          </w:p>
        </w:tc>
        <w:tc>
          <w:tcPr>
            <w:tcW w:type="dxa" w:w="2808"/>
          </w:tcPr>
          <w:p>
            <w:pPr>
              <w:spacing w:after="40" w:before="40" w:line="240" w:lineRule="auto"/>
            </w:pPr>
            <w:r/>
            <w:r>
              <w:rPr>
                <w:b w:val="0"/>
                <w:i w:val="0"/>
                <w:sz w:val="17"/>
              </w:rPr>
              <w:t>BA-MEMO-2025-03-19 §3: traumatic lumbar puncture can be handled analytically by normalising PrP to CSF total protein; no separate collection control is needed at the bench.</w:t>
            </w:r>
          </w:p>
        </w:tc>
        <w:tc>
          <w:tcPr>
            <w:tcW w:type="dxa" w:w="2520"/>
          </w:tcPr>
          <w:p>
            <w:pPr>
              <w:spacing w:after="40" w:before="40" w:line="240" w:lineRule="auto"/>
            </w:pPr>
            <w:r/>
            <w:r>
              <w:rPr>
                <w:b w:val="0"/>
                <w:i w:val="0"/>
                <w:sz w:val="17"/>
              </w:rPr>
              <w:t>The letter is silent on pre-analytical handling.</w:t>
            </w:r>
          </w:p>
        </w:tc>
        <w:tc>
          <w:tcPr>
            <w:tcW w:type="dxa" w:w="3744"/>
          </w:tcPr>
          <w:p>
            <w:pPr>
              <w:spacing w:after="40" w:before="40" w:line="240" w:lineRule="auto"/>
            </w:pPr>
            <w:r/>
            <w:r>
              <w:rPr>
                <w:b w:val="0"/>
                <w:i w:val="0"/>
                <w:sz w:val="17"/>
              </w:rPr>
              <w:t>LETTER SILENT — SPONSOR DETERMINATION, not adopted as sufficient. Normalisation is a post hoc correction, not a control. A blood-contamination measure recorded at collection is cheap, is required to validate the correction, and is the difference between a defensible dataset and an argument. Bioanalytical to specify one in SR-5. This is a science-quality position, not a hold matter, and does not delay any submission.</w:t>
            </w:r>
          </w:p>
        </w:tc>
      </w:tr>
      <w:tr>
        <w:tc>
          <w:tcPr>
            <w:tcW w:type="dxa" w:w="720"/>
            <w:shd w:val="clear" w:color="auto" w:fill="F2F5F8"/>
          </w:tcPr>
          <w:p>
            <w:pPr>
              <w:spacing w:after="40" w:before="40" w:line="240" w:lineRule="auto"/>
            </w:pPr>
            <w:r/>
            <w:r>
              <w:rPr>
                <w:b w:val="0"/>
                <w:i w:val="0"/>
                <w:sz w:val="17"/>
              </w:rPr>
              <w:t>A-12</w:t>
            </w:r>
          </w:p>
        </w:tc>
        <w:tc>
          <w:tcPr>
            <w:tcW w:type="dxa" w:w="2808"/>
            <w:shd w:val="clear" w:color="auto" w:fill="F2F5F8"/>
          </w:tcPr>
          <w:p>
            <w:pPr>
              <w:spacing w:after="40" w:before="40" w:line="240" w:lineRule="auto"/>
            </w:pPr>
            <w:r/>
            <w:r>
              <w:rPr>
                <w:b w:val="0"/>
                <w:i w:val="0"/>
                <w:sz w:val="17"/>
              </w:rPr>
              <w:t>REGOPS-MEMO-2025-04-02 §4: target complete response submission by mid-June to let the 30-day window land a decision before the September presymptomatic site-readiness milestone; achievable only if parallel site activation proceeds.</w:t>
            </w:r>
          </w:p>
        </w:tc>
        <w:tc>
          <w:tcPr>
            <w:tcW w:type="dxa" w:w="2520"/>
            <w:shd w:val="clear" w:color="auto" w:fill="F2F5F8"/>
          </w:tcPr>
          <w:p>
            <w:pPr>
              <w:spacing w:after="40" w:before="40" w:line="240" w:lineRule="auto"/>
            </w:pPr>
            <w:r/>
            <w:r>
              <w:rPr>
                <w:b w:val="0"/>
                <w:i w:val="0"/>
                <w:sz w:val="17"/>
              </w:rPr>
              <w:t>The complete response must contain the required information; the required study had not been designed, booked or conducted as of the reviewed materials.</w:t>
            </w:r>
          </w:p>
        </w:tc>
        <w:tc>
          <w:tcPr>
            <w:tcW w:type="dxa" w:w="3744"/>
            <w:shd w:val="clear" w:color="auto" w:fill="F2F5F8"/>
          </w:tcPr>
          <w:p>
            <w:pPr>
              <w:spacing w:after="40" w:before="40" w:line="240" w:lineRule="auto"/>
            </w:pPr>
            <w:r/>
            <w:r>
              <w:rPr>
                <w:b w:val="0"/>
                <w:i w:val="0"/>
                <w:sz w:val="17"/>
              </w:rPr>
              <w:t>VOID as a commitment. See Article 11. The date is unreachable because a GLP cynomolgus study with a ≥168-day in-life period cannot be conducted and reported by mid-June 2025 from an unbooked start, and because the parallel activity on which the memo conditions the date is partly prohibited (A-4).</w:t>
            </w:r>
          </w:p>
        </w:tc>
      </w:tr>
    </w:tbl>
    <w:p>
      <w:pPr>
        <w:spacing w:after="40"/>
      </w:pPr>
    </w:p>
    <w:p>
      <w:r>
        <w:br w:type="page"/>
      </w:r>
    </w:p>
    <w:p>
      <w:pPr>
        <w:pStyle w:val="Heading1"/>
      </w:pPr>
      <w:r>
        <w:t>Article 9 — Where the letter is silent</w:t>
      </w:r>
    </w:p>
    <w:p>
      <w:r>
        <w:rPr>
          <w:b w:val="0"/>
          <w:i/>
          <w:sz w:val="19"/>
        </w:rPr>
        <w:t>Recorded so that no one later mistakes a sponsor choice for an Agency instruction. Items marked UNRESOLVED must be closed with the Division before the dependent activity proceeds.</w:t>
      </w:r>
    </w:p>
    <w:tbl>
      <w:tblPr>
        <w:tblStyle w:val="TableGrid"/>
        <w:tblW w:type="auto" w:w="0"/>
        <w:jc w:val="center"/>
        <w:tblLook w:firstColumn="1" w:firstRow="1" w:lastColumn="0" w:lastRow="0" w:noHBand="0" w:noVBand="1" w:val="04A0"/>
      </w:tblPr>
      <w:tblGrid>
        <w:gridCol w:w="3216"/>
        <w:gridCol w:w="3216"/>
        <w:gridCol w:w="3216"/>
      </w:tblGrid>
      <w:tr>
        <w:trPr>
          <w:tblHeader/>
        </w:trPr>
        <w:tc>
          <w:tcPr>
            <w:tcW w:type="dxa" w:w="648"/>
            <w:shd w:val="clear" w:color="auto" w:fill="1F3B57"/>
          </w:tcPr>
          <w:p>
            <w:pPr>
              <w:spacing w:after="40" w:before="40" w:line="240" w:lineRule="auto"/>
            </w:pPr>
            <w:r>
              <w:rPr>
                <w:color w:val="FFFFFF"/>
              </w:rPr>
            </w:r>
            <w:r>
              <w:rPr>
                <w:b/>
                <w:i w:val="0"/>
                <w:color w:val="FFFFFF"/>
                <w:sz w:val="18"/>
              </w:rPr>
              <w:t>#</w:t>
            </w:r>
          </w:p>
        </w:tc>
        <w:tc>
          <w:tcPr>
            <w:tcW w:type="dxa" w:w="3960"/>
            <w:shd w:val="clear" w:color="auto" w:fill="1F3B57"/>
          </w:tcPr>
          <w:p>
            <w:pPr>
              <w:spacing w:after="40" w:before="40" w:line="240" w:lineRule="auto"/>
            </w:pPr>
            <w:r>
              <w:rPr>
                <w:color w:val="FFFFFF"/>
              </w:rPr>
            </w:r>
            <w:r>
              <w:rPr>
                <w:b/>
                <w:i w:val="0"/>
                <w:color w:val="FFFFFF"/>
                <w:sz w:val="18"/>
              </w:rPr>
              <w:t>Point on which the letter is silent</w:t>
            </w:r>
          </w:p>
        </w:tc>
        <w:tc>
          <w:tcPr>
            <w:tcW w:type="dxa" w:w="5184"/>
            <w:shd w:val="clear" w:color="auto" w:fill="1F3B57"/>
          </w:tcPr>
          <w:p>
            <w:pPr>
              <w:spacing w:after="40" w:before="40" w:line="240" w:lineRule="auto"/>
            </w:pPr>
            <w:r>
              <w:rPr>
                <w:color w:val="FFFFFF"/>
              </w:rPr>
            </w:r>
            <w:r>
              <w:rPr>
                <w:b/>
                <w:i w:val="0"/>
                <w:color w:val="FFFFFF"/>
                <w:sz w:val="18"/>
              </w:rPr>
              <w:t>Treatment</w:t>
            </w:r>
          </w:p>
        </w:tc>
      </w:tr>
      <w:tr>
        <w:tc>
          <w:tcPr>
            <w:tcW w:type="dxa" w:w="648"/>
          </w:tcPr>
          <w:p>
            <w:pPr>
              <w:spacing w:after="40" w:before="40" w:line="240" w:lineRule="auto"/>
            </w:pPr>
            <w:r/>
            <w:r>
              <w:rPr>
                <w:b w:val="0"/>
                <w:i w:val="0"/>
                <w:sz w:val="18"/>
              </w:rPr>
              <w:t>S-1</w:t>
            </w:r>
          </w:p>
        </w:tc>
        <w:tc>
          <w:tcPr>
            <w:tcW w:type="dxa" w:w="3960"/>
          </w:tcPr>
          <w:p>
            <w:pPr>
              <w:spacing w:after="40" w:before="40" w:line="240" w:lineRule="auto"/>
            </w:pPr>
            <w:r/>
            <w:r>
              <w:rPr>
                <w:b w:val="0"/>
                <w:i w:val="0"/>
                <w:sz w:val="18"/>
              </w:rPr>
              <w:t>The numeric duration of the cynomolgus study; whether “duration” means dosing period or study period.</w:t>
            </w:r>
          </w:p>
        </w:tc>
        <w:tc>
          <w:tcPr>
            <w:tcW w:type="dxa" w:w="5184"/>
          </w:tcPr>
          <w:p>
            <w:pPr>
              <w:spacing w:after="40" w:before="40" w:line="240" w:lineRule="auto"/>
            </w:pPr>
            <w:r/>
            <w:r>
              <w:rPr>
                <w:b w:val="0"/>
                <w:i w:val="0"/>
                <w:sz w:val="18"/>
              </w:rPr>
              <w:t>SPONSOR DETERMINATION: ≥168 days in-life (4.3.1). UNRESOLVED as a matter of Agency intent; to be put to the Division in SR-4 (4.3.4).</w:t>
            </w:r>
          </w:p>
        </w:tc>
      </w:tr>
      <w:tr>
        <w:tc>
          <w:tcPr>
            <w:tcW w:type="dxa" w:w="648"/>
            <w:shd w:val="clear" w:color="auto" w:fill="F2F5F8"/>
          </w:tcPr>
          <w:p>
            <w:pPr>
              <w:spacing w:after="40" w:before="40" w:line="240" w:lineRule="auto"/>
            </w:pPr>
            <w:r/>
            <w:r>
              <w:rPr>
                <w:b w:val="0"/>
                <w:i w:val="0"/>
                <w:sz w:val="18"/>
              </w:rPr>
              <w:t>S-2</w:t>
            </w:r>
          </w:p>
        </w:tc>
        <w:tc>
          <w:tcPr>
            <w:tcW w:type="dxa" w:w="3960"/>
            <w:shd w:val="clear" w:color="auto" w:fill="F2F5F8"/>
          </w:tcPr>
          <w:p>
            <w:pPr>
              <w:spacing w:after="40" w:before="40" w:line="240" w:lineRule="auto"/>
            </w:pPr>
            <w:r/>
            <w:r>
              <w:rPr>
                <w:b w:val="0"/>
                <w:i w:val="0"/>
                <w:sz w:val="18"/>
              </w:rPr>
              <w:t>Dose levels, group sizes, sex distribution, recovery period, and endpoint battery of the cynomolgus study.</w:t>
            </w:r>
          </w:p>
        </w:tc>
        <w:tc>
          <w:tcPr>
            <w:tcW w:type="dxa" w:w="5184"/>
            <w:shd w:val="clear" w:color="auto" w:fill="F2F5F8"/>
          </w:tcPr>
          <w:p>
            <w:pPr>
              <w:spacing w:after="40" w:before="40" w:line="240" w:lineRule="auto"/>
            </w:pPr>
            <w:r/>
            <w:r>
              <w:rPr>
                <w:b w:val="0"/>
                <w:i w:val="0"/>
                <w:sz w:val="18"/>
              </w:rPr>
              <w:t>SPONSOR DETERMINATION, with neurobehavioural assessment mandatory (5.4.3). Design filed in SR-4 for Division comment.</w:t>
            </w:r>
          </w:p>
        </w:tc>
      </w:tr>
      <w:tr>
        <w:tc>
          <w:tcPr>
            <w:tcW w:type="dxa" w:w="648"/>
          </w:tcPr>
          <w:p>
            <w:pPr>
              <w:spacing w:after="40" w:before="40" w:line="240" w:lineRule="auto"/>
            </w:pPr>
            <w:r/>
            <w:r>
              <w:rPr>
                <w:b w:val="0"/>
                <w:i w:val="0"/>
                <w:sz w:val="18"/>
              </w:rPr>
              <w:t>S-3</w:t>
            </w:r>
          </w:p>
        </w:tc>
        <w:tc>
          <w:tcPr>
            <w:tcW w:type="dxa" w:w="3960"/>
          </w:tcPr>
          <w:p>
            <w:pPr>
              <w:spacing w:after="40" w:before="40" w:line="240" w:lineRule="auto"/>
            </w:pPr>
            <w:r/>
            <w:r>
              <w:rPr>
                <w:b w:val="0"/>
                <w:i w:val="0"/>
                <w:sz w:val="18"/>
              </w:rPr>
              <w:t>Whether a repeat-dose or single-dose cynomolgus design is expected.</w:t>
            </w:r>
          </w:p>
        </w:tc>
        <w:tc>
          <w:tcPr>
            <w:tcW w:type="dxa" w:w="5184"/>
          </w:tcPr>
          <w:p>
            <w:pPr>
              <w:spacing w:after="40" w:before="40" w:line="240" w:lineRule="auto"/>
            </w:pPr>
            <w:r/>
            <w:r>
              <w:rPr>
                <w:b w:val="0"/>
                <w:i w:val="0"/>
                <w:sz w:val="18"/>
              </w:rPr>
              <w:t>SPONSOR DETERMINATION: either satisfies the letter as written; duration governs (4.3.2). Raised in SR-4.</w:t>
            </w:r>
          </w:p>
        </w:tc>
      </w:tr>
      <w:tr>
        <w:tc>
          <w:tcPr>
            <w:tcW w:type="dxa" w:w="648"/>
            <w:shd w:val="clear" w:color="auto" w:fill="F2F5F8"/>
          </w:tcPr>
          <w:p>
            <w:pPr>
              <w:spacing w:after="40" w:before="40" w:line="240" w:lineRule="auto"/>
            </w:pPr>
            <w:r/>
            <w:r>
              <w:rPr>
                <w:b w:val="0"/>
                <w:i w:val="0"/>
                <w:sz w:val="18"/>
              </w:rPr>
              <w:t>S-4</w:t>
            </w:r>
          </w:p>
        </w:tc>
        <w:tc>
          <w:tcPr>
            <w:tcW w:type="dxa" w:w="3960"/>
            <w:shd w:val="clear" w:color="auto" w:fill="F2F5F8"/>
          </w:tcPr>
          <w:p>
            <w:pPr>
              <w:spacing w:after="40" w:before="40" w:line="240" w:lineRule="auto"/>
            </w:pPr>
            <w:r/>
            <w:r>
              <w:rPr>
                <w:b w:val="0"/>
                <w:i w:val="0"/>
                <w:sz w:val="18"/>
              </w:rPr>
              <w:t>What constitutes “initiation” of the held study.</w:t>
            </w:r>
          </w:p>
        </w:tc>
        <w:tc>
          <w:tcPr>
            <w:tcW w:type="dxa" w:w="5184"/>
            <w:shd w:val="clear" w:color="auto" w:fill="F2F5F8"/>
          </w:tcPr>
          <w:p>
            <w:pPr>
              <w:spacing w:after="40" w:before="40" w:line="240" w:lineRule="auto"/>
            </w:pPr>
            <w:r/>
            <w:r>
              <w:rPr>
                <w:b w:val="0"/>
                <w:i w:val="0"/>
                <w:sz w:val="18"/>
              </w:rPr>
              <w:t>SPONSOR DETERMINATION: the construction in 3.1. Conservative by design.</w:t>
            </w:r>
          </w:p>
        </w:tc>
      </w:tr>
      <w:tr>
        <w:tc>
          <w:tcPr>
            <w:tcW w:type="dxa" w:w="648"/>
          </w:tcPr>
          <w:p>
            <w:pPr>
              <w:spacing w:after="40" w:before="40" w:line="240" w:lineRule="auto"/>
            </w:pPr>
            <w:r/>
            <w:r>
              <w:rPr>
                <w:b w:val="0"/>
                <w:i w:val="0"/>
                <w:sz w:val="18"/>
              </w:rPr>
              <w:t>S-5</w:t>
            </w:r>
          </w:p>
        </w:tc>
        <w:tc>
          <w:tcPr>
            <w:tcW w:type="dxa" w:w="3960"/>
          </w:tcPr>
          <w:p>
            <w:pPr>
              <w:spacing w:after="40" w:before="40" w:line="240" w:lineRule="auto"/>
            </w:pPr>
            <w:r/>
            <w:r>
              <w:rPr>
                <w:b w:val="0"/>
                <w:i w:val="0"/>
                <w:sz w:val="18"/>
              </w:rPr>
              <w:t>Whether the presymptomatic protocol may be amended while held.</w:t>
            </w:r>
          </w:p>
        </w:tc>
        <w:tc>
          <w:tcPr>
            <w:tcW w:type="dxa" w:w="5184"/>
          </w:tcPr>
          <w:p>
            <w:pPr>
              <w:spacing w:after="40" w:before="40" w:line="240" w:lineRule="auto"/>
            </w:pPr>
            <w:r/>
            <w:r>
              <w:rPr>
                <w:b w:val="0"/>
                <w:i w:val="0"/>
                <w:sz w:val="18"/>
              </w:rPr>
              <w:t>SPONSOR DETERMINATION: yes; amendment of a held protocol is not initiation. Conforming amendments are expected at G-4.</w:t>
            </w:r>
          </w:p>
        </w:tc>
      </w:tr>
      <w:tr>
        <w:tc>
          <w:tcPr>
            <w:tcW w:type="dxa" w:w="648"/>
            <w:shd w:val="clear" w:color="auto" w:fill="F2F5F8"/>
          </w:tcPr>
          <w:p>
            <w:pPr>
              <w:spacing w:after="40" w:before="40" w:line="240" w:lineRule="auto"/>
            </w:pPr>
            <w:r/>
            <w:r>
              <w:rPr>
                <w:b w:val="0"/>
                <w:i w:val="0"/>
                <w:sz w:val="18"/>
              </w:rPr>
              <w:t>S-6</w:t>
            </w:r>
          </w:p>
        </w:tc>
        <w:tc>
          <w:tcPr>
            <w:tcW w:type="dxa" w:w="3960"/>
            <w:shd w:val="clear" w:color="auto" w:fill="F2F5F8"/>
          </w:tcPr>
          <w:p>
            <w:pPr>
              <w:spacing w:after="40" w:before="40" w:line="240" w:lineRule="auto"/>
            </w:pPr>
            <w:r/>
            <w:r>
              <w:rPr>
                <w:b w:val="0"/>
                <w:i w:val="0"/>
                <w:sz w:val="18"/>
              </w:rPr>
              <w:t>The form the Agency’s resumption notification will take, and whether it will impose conditions.</w:t>
            </w:r>
          </w:p>
        </w:tc>
        <w:tc>
          <w:tcPr>
            <w:tcW w:type="dxa" w:w="5184"/>
            <w:shd w:val="clear" w:color="auto" w:fill="F2F5F8"/>
          </w:tcPr>
          <w:p>
            <w:pPr>
              <w:spacing w:after="40" w:before="40" w:line="240" w:lineRule="auto"/>
            </w:pPr>
            <w:r/>
            <w:r>
              <w:rPr>
                <w:b w:val="0"/>
                <w:i w:val="0"/>
                <w:sz w:val="18"/>
              </w:rPr>
              <w:t>SPONSOR DETERMINATION: G-3 requires written adjudication of whatever arrives. No oral or informal communication satisfies G-2.</w:t>
            </w:r>
          </w:p>
        </w:tc>
      </w:tr>
      <w:tr>
        <w:tc>
          <w:tcPr>
            <w:tcW w:type="dxa" w:w="648"/>
          </w:tcPr>
          <w:p>
            <w:pPr>
              <w:spacing w:after="40" w:before="40" w:line="240" w:lineRule="auto"/>
            </w:pPr>
            <w:r/>
            <w:r>
              <w:rPr>
                <w:b w:val="0"/>
                <w:i w:val="0"/>
                <w:sz w:val="18"/>
              </w:rPr>
              <w:t>S-7</w:t>
            </w:r>
          </w:p>
        </w:tc>
        <w:tc>
          <w:tcPr>
            <w:tcW w:type="dxa" w:w="3960"/>
          </w:tcPr>
          <w:p>
            <w:pPr>
              <w:spacing w:after="40" w:before="40" w:line="240" w:lineRule="auto"/>
            </w:pPr>
            <w:r/>
            <w:r>
              <w:rPr>
                <w:b w:val="0"/>
                <w:i w:val="0"/>
                <w:sz w:val="18"/>
              </w:rPr>
              <w:t>Whether FDA’s 30-day period runs from transmission or from receipt.</w:t>
            </w:r>
          </w:p>
        </w:tc>
        <w:tc>
          <w:tcPr>
            <w:tcW w:type="dxa" w:w="5184"/>
          </w:tcPr>
          <w:p>
            <w:pPr>
              <w:spacing w:after="40" w:before="40" w:line="240" w:lineRule="auto"/>
            </w:pPr>
            <w:r/>
            <w:r>
              <w:rPr>
                <w:b w:val="0"/>
                <w:i w:val="0"/>
                <w:sz w:val="18"/>
              </w:rPr>
              <w:t>FIXED IN PART: the letter says “following receipt of your complete response.” Regulatory Operations shall date the clock from documented Agency receipt, not from transmission, and shall not brief the earlier date internally.</w:t>
            </w:r>
          </w:p>
        </w:tc>
      </w:tr>
      <w:tr>
        <w:tc>
          <w:tcPr>
            <w:tcW w:type="dxa" w:w="648"/>
            <w:shd w:val="clear" w:color="auto" w:fill="F2F5F8"/>
          </w:tcPr>
          <w:p>
            <w:pPr>
              <w:spacing w:after="40" w:before="40" w:line="240" w:lineRule="auto"/>
            </w:pPr>
            <w:r/>
            <w:r>
              <w:rPr>
                <w:b w:val="0"/>
                <w:i w:val="0"/>
                <w:sz w:val="18"/>
              </w:rPr>
              <w:t>S-8</w:t>
            </w:r>
          </w:p>
        </w:tc>
        <w:tc>
          <w:tcPr>
            <w:tcW w:type="dxa" w:w="3960"/>
            <w:shd w:val="clear" w:color="auto" w:fill="F2F5F8"/>
          </w:tcPr>
          <w:p>
            <w:pPr>
              <w:spacing w:after="40" w:before="40" w:line="240" w:lineRule="auto"/>
            </w:pPr>
            <w:r/>
            <w:r>
              <w:rPr>
                <w:b w:val="0"/>
                <w:i w:val="0"/>
                <w:sz w:val="18"/>
              </w:rPr>
              <w:t>The date the IND became active, from which the annual report anniversary runs.</w:t>
            </w:r>
          </w:p>
        </w:tc>
        <w:tc>
          <w:tcPr>
            <w:tcW w:type="dxa" w:w="5184"/>
            <w:shd w:val="clear" w:color="auto" w:fill="F2F5F8"/>
          </w:tcPr>
          <w:p>
            <w:pPr>
              <w:spacing w:after="40" w:before="40" w:line="240" w:lineRule="auto"/>
            </w:pPr>
            <w:r/>
            <w:r>
              <w:rPr>
                <w:b w:val="0"/>
                <w:i w:val="0"/>
                <w:sz w:val="18"/>
              </w:rPr>
              <w:t>UNRESOLVED IN THE FILE. The letter defines the date as the date clinical studies were permitted to begin but does not state it. Regulatory Operations shall establish it from the submission log and Agency correspondence and record it in the compliance calendar before the first anniversary approaches (10.3).</w:t>
            </w:r>
          </w:p>
        </w:tc>
      </w:tr>
      <w:tr>
        <w:tc>
          <w:tcPr>
            <w:tcW w:type="dxa" w:w="648"/>
          </w:tcPr>
          <w:p>
            <w:pPr>
              <w:spacing w:after="40" w:before="40" w:line="240" w:lineRule="auto"/>
            </w:pPr>
            <w:r/>
            <w:r>
              <w:rPr>
                <w:b w:val="0"/>
                <w:i w:val="0"/>
                <w:sz w:val="18"/>
              </w:rPr>
              <w:t>S-9</w:t>
            </w:r>
          </w:p>
        </w:tc>
        <w:tc>
          <w:tcPr>
            <w:tcW w:type="dxa" w:w="3960"/>
          </w:tcPr>
          <w:p>
            <w:pPr>
              <w:spacing w:after="40" w:before="40" w:line="240" w:lineRule="auto"/>
            </w:pPr>
            <w:r/>
            <w:r>
              <w:rPr>
                <w:b w:val="0"/>
                <w:i w:val="0"/>
                <w:sz w:val="18"/>
              </w:rPr>
              <w:t>Whether the hold on the presymptomatic protocol affects the annual report or safety reporting obligations.</w:t>
            </w:r>
          </w:p>
        </w:tc>
        <w:tc>
          <w:tcPr>
            <w:tcW w:type="dxa" w:w="5184"/>
          </w:tcPr>
          <w:p>
            <w:pPr>
              <w:spacing w:after="40" w:before="40" w:line="240" w:lineRule="auto"/>
            </w:pPr>
            <w:r/>
            <w:r>
              <w:rPr>
                <w:b w:val="0"/>
                <w:i w:val="0"/>
                <w:sz w:val="18"/>
              </w:rPr>
              <w:t>SPONSOR DETERMINATION: it does not. Both are IND-level obligations covering both protocols (SR-6, SR-7).</w:t>
            </w:r>
          </w:p>
        </w:tc>
      </w:tr>
      <w:tr>
        <w:tc>
          <w:tcPr>
            <w:tcW w:type="dxa" w:w="648"/>
            <w:shd w:val="clear" w:color="auto" w:fill="F2F5F8"/>
          </w:tcPr>
          <w:p>
            <w:pPr>
              <w:spacing w:after="40" w:before="40" w:line="240" w:lineRule="auto"/>
            </w:pPr>
            <w:r/>
            <w:r>
              <w:rPr>
                <w:b w:val="0"/>
                <w:i w:val="0"/>
                <w:sz w:val="18"/>
              </w:rPr>
              <w:t>S-10</w:t>
            </w:r>
          </w:p>
        </w:tc>
        <w:tc>
          <w:tcPr>
            <w:tcW w:type="dxa" w:w="3960"/>
            <w:shd w:val="clear" w:color="auto" w:fill="F2F5F8"/>
          </w:tcPr>
          <w:p>
            <w:pPr>
              <w:spacing w:after="40" w:before="40" w:line="240" w:lineRule="auto"/>
            </w:pPr>
            <w:r/>
            <w:r>
              <w:rPr>
                <w:b w:val="0"/>
                <w:i w:val="0"/>
                <w:sz w:val="18"/>
              </w:rPr>
              <w:t>Whether the sponsor may request a Type A meeting or other formal interaction about the hold.</w:t>
            </w:r>
          </w:p>
        </w:tc>
        <w:tc>
          <w:tcPr>
            <w:tcW w:type="dxa" w:w="5184"/>
            <w:shd w:val="clear" w:color="auto" w:fill="F2F5F8"/>
          </w:tcPr>
          <w:p>
            <w:pPr>
              <w:spacing w:after="40" w:before="40" w:line="240" w:lineRule="auto"/>
            </w:pPr>
            <w:r/>
            <w:r>
              <w:rPr>
                <w:b w:val="0"/>
                <w:i w:val="0"/>
                <w:sz w:val="18"/>
              </w:rPr>
              <w:t>SPONSOR DETERMINATION: not prohibited and not addressed. If the Division’s expectations on S-1 to S-3 cannot be settled through SR-4, a formal meeting request is the correct instrument, and is preferable to designing a 168-day study on an assumption.</w:t>
            </w:r>
          </w:p>
        </w:tc>
      </w:tr>
      <w:tr>
        <w:tc>
          <w:tcPr>
            <w:tcW w:type="dxa" w:w="648"/>
          </w:tcPr>
          <w:p>
            <w:pPr>
              <w:spacing w:after="40" w:before="40" w:line="240" w:lineRule="auto"/>
            </w:pPr>
            <w:r/>
            <w:r>
              <w:rPr>
                <w:b w:val="0"/>
                <w:i w:val="0"/>
                <w:sz w:val="18"/>
              </w:rPr>
              <w:t>S-11</w:t>
            </w:r>
          </w:p>
        </w:tc>
        <w:tc>
          <w:tcPr>
            <w:tcW w:type="dxa" w:w="3960"/>
          </w:tcPr>
          <w:p>
            <w:pPr>
              <w:spacing w:after="40" w:before="40" w:line="240" w:lineRule="auto"/>
            </w:pPr>
            <w:r/>
            <w:r>
              <w:rPr>
                <w:b w:val="0"/>
                <w:i w:val="0"/>
                <w:sz w:val="18"/>
              </w:rPr>
              <w:t>Whether the existing dog and rat GLP studies must be repeated or extended.</w:t>
            </w:r>
          </w:p>
        </w:tc>
        <w:tc>
          <w:tcPr>
            <w:tcW w:type="dxa" w:w="5184"/>
          </w:tcPr>
          <w:p>
            <w:pPr>
              <w:spacing w:after="40" w:before="40" w:line="240" w:lineRule="auto"/>
            </w:pPr>
            <w:r/>
            <w:r>
              <w:rPr>
                <w:b w:val="0"/>
                <w:i w:val="0"/>
                <w:sz w:val="18"/>
              </w:rPr>
              <w:t>SPONSOR DETERMINATION: no. The letter judges the existing package adequate for the symptomatic protocol and does not ask for more in those species.</w:t>
            </w:r>
          </w:p>
        </w:tc>
      </w:tr>
      <w:tr>
        <w:tc>
          <w:tcPr>
            <w:tcW w:type="dxa" w:w="648"/>
            <w:shd w:val="clear" w:color="auto" w:fill="F2F5F8"/>
          </w:tcPr>
          <w:p>
            <w:pPr>
              <w:spacing w:after="40" w:before="40" w:line="240" w:lineRule="auto"/>
            </w:pPr>
            <w:r/>
            <w:r>
              <w:rPr>
                <w:b w:val="0"/>
                <w:i w:val="0"/>
                <w:sz w:val="18"/>
              </w:rPr>
              <w:t>S-12</w:t>
            </w:r>
          </w:p>
        </w:tc>
        <w:tc>
          <w:tcPr>
            <w:tcW w:type="dxa" w:w="3960"/>
            <w:shd w:val="clear" w:color="auto" w:fill="F2F5F8"/>
          </w:tcPr>
          <w:p>
            <w:pPr>
              <w:spacing w:after="40" w:before="40" w:line="240" w:lineRule="auto"/>
            </w:pPr>
            <w:r/>
            <w:r>
              <w:rPr>
                <w:b w:val="0"/>
                <w:i w:val="0"/>
                <w:sz w:val="18"/>
              </w:rPr>
              <w:t>Any comment on the presymptomatic protocol’s design, eligibility, sampling or statistics.</w:t>
            </w:r>
          </w:p>
        </w:tc>
        <w:tc>
          <w:tcPr>
            <w:tcW w:type="dxa" w:w="5184"/>
            <w:shd w:val="clear" w:color="auto" w:fill="F2F5F8"/>
          </w:tcPr>
          <w:p>
            <w:pPr>
              <w:spacing w:after="40" w:before="40" w:line="240" w:lineRule="auto"/>
            </w:pPr>
            <w:r/>
            <w:r>
              <w:rPr>
                <w:b w:val="0"/>
                <w:i w:val="0"/>
                <w:sz w:val="18"/>
              </w:rPr>
              <w:t>EXPRESSLY RESERVED BY THE AGENCY: “At this time, we do not have specific comments on your proposed study in healthy patients at genetic risk of prion disease.” Expect design comments at or after resumption; do not treat the current text as accepted (6.2.5).</w:t>
            </w:r>
          </w:p>
        </w:tc>
      </w:tr>
      <w:tr>
        <w:tc>
          <w:tcPr>
            <w:tcW w:type="dxa" w:w="648"/>
          </w:tcPr>
          <w:p>
            <w:pPr>
              <w:spacing w:after="40" w:before="40" w:line="240" w:lineRule="auto"/>
            </w:pPr>
            <w:r/>
            <w:r>
              <w:rPr>
                <w:b w:val="0"/>
                <w:i w:val="0"/>
                <w:sz w:val="18"/>
              </w:rPr>
              <w:t>S-13</w:t>
            </w:r>
          </w:p>
        </w:tc>
        <w:tc>
          <w:tcPr>
            <w:tcW w:type="dxa" w:w="3960"/>
          </w:tcPr>
          <w:p>
            <w:pPr>
              <w:spacing w:after="40" w:before="40" w:line="240" w:lineRule="auto"/>
            </w:pPr>
            <w:r/>
            <w:r>
              <w:rPr>
                <w:b w:val="0"/>
                <w:i w:val="0"/>
                <w:sz w:val="18"/>
              </w:rPr>
              <w:t>The Agency email addresses redacted from the served copy of the letter.</w:t>
            </w:r>
          </w:p>
        </w:tc>
        <w:tc>
          <w:tcPr>
            <w:tcW w:type="dxa" w:w="5184"/>
          </w:tcPr>
          <w:p>
            <w:pPr>
              <w:spacing w:after="40" w:before="40" w:line="240" w:lineRule="auto"/>
            </w:pPr>
            <w:r/>
            <w:r>
              <w:rPr>
                <w:b w:val="0"/>
                <w:i w:val="0"/>
                <w:sz w:val="18"/>
              </w:rPr>
              <w:t>GAP IN THE RECORD: obtain from the Regulatory Health Project Manager and log before any email-dependent step, including establishing secure email (5.5).</w:t>
            </w:r>
          </w:p>
        </w:tc>
      </w:tr>
      <w:tr>
        <w:tc>
          <w:tcPr>
            <w:tcW w:type="dxa" w:w="648"/>
            <w:shd w:val="clear" w:color="auto" w:fill="F2F5F8"/>
          </w:tcPr>
          <w:p>
            <w:pPr>
              <w:spacing w:after="40" w:before="40" w:line="240" w:lineRule="auto"/>
            </w:pPr>
            <w:r/>
            <w:r>
              <w:rPr>
                <w:b w:val="0"/>
                <w:i w:val="0"/>
                <w:sz w:val="18"/>
              </w:rPr>
              <w:t>S-14</w:t>
            </w:r>
          </w:p>
        </w:tc>
        <w:tc>
          <w:tcPr>
            <w:tcW w:type="dxa" w:w="3960"/>
            <w:shd w:val="clear" w:color="auto" w:fill="F2F5F8"/>
          </w:tcPr>
          <w:p>
            <w:pPr>
              <w:spacing w:after="40" w:before="40" w:line="240" w:lineRule="auto"/>
            </w:pPr>
            <w:r/>
            <w:r>
              <w:rPr>
                <w:b w:val="0"/>
                <w:i w:val="0"/>
                <w:sz w:val="18"/>
              </w:rPr>
              <w:t>Whether the sponsor must convert the IND to eCTD.</w:t>
            </w:r>
          </w:p>
        </w:tc>
        <w:tc>
          <w:tcPr>
            <w:tcW w:type="dxa" w:w="5184"/>
            <w:shd w:val="clear" w:color="auto" w:fill="F2F5F8"/>
          </w:tcPr>
          <w:p>
            <w:pPr>
              <w:spacing w:after="40" w:before="40" w:line="240" w:lineRule="auto"/>
            </w:pPr>
            <w:r/>
            <w:r>
              <w:rPr>
                <w:b w:val="0"/>
                <w:i w:val="0"/>
                <w:sz w:val="18"/>
              </w:rPr>
              <w:t>SPONSOR DETERMINATION: no. The letter accommodates both formats; this IND remains non-eCTD via the CDER NextGen Portal. If conversion is elected later, the ESG mechanics in the letter take effect and this plan requires amendment.</w:t>
            </w:r>
          </w:p>
        </w:tc>
      </w:tr>
    </w:tbl>
    <w:p>
      <w:pPr>
        <w:spacing w:after="40"/>
      </w:pPr>
    </w:p>
    <w:p>
      <w:pPr>
        <w:pStyle w:val="Heading1"/>
      </w:pPr>
      <w:r>
        <w:t>Article 10 — Standing obligations preserved by the letter</w:t>
      </w:r>
    </w:p>
    <w:p>
      <w:pPr>
        <w:pStyle w:val="Heading2"/>
      </w:pPr>
      <w:r>
        <w:t>10.1  Expedited safety reporting — mechanics for a non-eCTD IND</w:t>
      </w:r>
    </w:p>
    <w:p>
      <w:r>
        <w:rPr>
          <w:b w:val="0"/>
          <w:i w:val="0"/>
        </w:rPr>
        <w:t>IND 167326 is not in eCTD format, so the letter’s non-eCTD branch applies. Both protocols are covered; Partition A is dosing, so this is live.</w:t>
      </w:r>
    </w:p>
    <w:p>
      <w:pPr>
        <w:pStyle w:val="ListBullet"/>
        <w:spacing w:after="60"/>
        <w:ind w:left="720"/>
      </w:pPr>
      <w:r>
        <w:rPr>
          <w:b/>
        </w:rPr>
        <w:t xml:space="preserve">7-day reports. </w:t>
      </w:r>
      <w:r>
        <w:t>Unexpected fatal or life-threatening suspected adverse reactions: report to the Division no later than 7 calendar days after initial receipt of the information [21 CFR 312.32(c)(2)].</w:t>
      </w:r>
    </w:p>
    <w:p>
      <w:pPr>
        <w:pStyle w:val="ListBullet"/>
        <w:spacing w:after="60"/>
        <w:ind w:left="720"/>
      </w:pPr>
      <w:r>
        <w:t>Because the IND is not in eCTD, 7-day reports are submitted by a rapid means of communication, preferably facsimile or email, addressed to the Regulatory Project Manager and/or the Chief, Project Management Staff. Email use requires a secure email account with FDA. This is the one permitted use of secure email for a submission to this application.</w:t>
      </w:r>
    </w:p>
    <w:p>
      <w:pPr>
        <w:pStyle w:val="ListBullet"/>
        <w:spacing w:after="60"/>
        <w:ind w:left="720"/>
      </w:pPr>
      <w:r>
        <w:t>If a copy is also sent to the IND, that copy must bear the same date as the facsimile or email submission and be clearly marked “Duplicate.”</w:t>
      </w:r>
    </w:p>
    <w:p>
      <w:pPr>
        <w:pStyle w:val="ListBullet"/>
        <w:spacing w:after="60"/>
        <w:ind w:left="720"/>
      </w:pPr>
      <w:r>
        <w:rPr>
          <w:b/>
        </w:rPr>
        <w:t xml:space="preserve">15-day reports. </w:t>
      </w:r>
      <w:r>
        <w:t>Serious unexpected suspected adverse reactions; findings from clinical, animal or in-vitro studies suggesting significant human risk; and a clinically important increase in the rate of a serious suspected adverse reaction: report to the Division and to all investigators no later than 15 calendar days after determining the information qualifies [21 CFR 312.32(c)(1)]. For a non-eCTD IND these may be submitted in paper format.</w:t>
      </w:r>
    </w:p>
    <w:p>
      <w:pPr>
        <w:spacing w:after="100"/>
        <w:ind w:left="461" w:hanging="461"/>
      </w:pPr>
      <w:r>
        <w:rPr>
          <w:b/>
        </w:rPr>
        <w:t xml:space="preserve">10.1.1  </w:t>
      </w:r>
      <w:r>
        <w:t>The 15-day obligation runs to all investigators as well as to the Division. The investigator of record in the reviewed file (Form FDA 1572 executed, module 5.3.2) shall be on the distribution list, and the list shall be maintained as sites are added.</w:t>
      </w:r>
    </w:p>
    <w:p>
      <w:pPr>
        <w:spacing w:after="100"/>
        <w:ind w:left="461" w:hanging="461"/>
      </w:pPr>
      <w:r>
        <w:rPr>
          <w:b/>
        </w:rPr>
        <w:t xml:space="preserve">10.1.2  </w:t>
      </w:r>
      <w:r>
        <w:t>Nonclinical findings are reportable. If the cynomolgus study produces a finding suggesting significant human risk, the 15-day obligation attaches while Partition A is dosing, independently of SR-1. Nonclinical shall route in-life findings to Pharmacovigilance and Regulatory Operations as they arise, not at report finalisation.</w:t>
      </w:r>
    </w:p>
    <w:p>
      <w:pPr>
        <w:pStyle w:val="Heading2"/>
      </w:pPr>
      <w:r>
        <w:t>10.2  Annual progress report</w:t>
      </w:r>
    </w:p>
    <w:p>
      <w:pPr>
        <w:spacing w:after="100"/>
        <w:ind w:left="461" w:hanging="461"/>
      </w:pPr>
      <w:r>
        <w:rPr>
          <w:b/>
        </w:rPr>
        <w:t xml:space="preserve">10.2.1  </w:t>
      </w:r>
      <w:r>
        <w:t>Annual progress reports are due within 60 days of the anniversary of the date the IND became active — the date clinical studies were permitted to begin — under 21 CFR 312.33. The report covers both protocols and shall state the hold status and the status of the cynomolgus study.</w:t>
      </w:r>
    </w:p>
    <w:p>
      <w:pPr>
        <w:spacing w:after="100"/>
        <w:ind w:left="461" w:hanging="461"/>
      </w:pPr>
      <w:r>
        <w:rPr>
          <w:b/>
        </w:rPr>
        <w:t xml:space="preserve">10.2.2  </w:t>
      </w:r>
      <w:r>
        <w:t>The active date is not stated in the letter and is not established in the reviewed file (S-8). Regulatory Operations shall fix it from the record and enter the due date in the compliance calendar. An annual report missed because the anniversary was never computed is an unforced error.</w:t>
      </w:r>
    </w:p>
    <w:p>
      <w:pPr>
        <w:pStyle w:val="Heading2"/>
      </w:pPr>
      <w:r>
        <w:t>10.3  Sponsor responsibilities generally</w:t>
      </w:r>
    </w:p>
    <w:p>
      <w:pPr>
        <w:spacing w:after="100"/>
        <w:ind w:left="461" w:hanging="461"/>
      </w:pPr>
      <w:r>
        <w:rPr>
          <w:b/>
        </w:rPr>
        <w:t xml:space="preserve">10.3.1  </w:t>
      </w:r>
      <w:r>
        <w:t>The letter restates that the sponsor is responsible for compliance with the FD&amp;C Act and Title 21 CFR. Nothing in this plan narrows those obligations, and the hold does not suspend any of them.</w:t>
      </w:r>
    </w:p>
    <w:p>
      <w:pPr>
        <w:pStyle w:val="Heading1"/>
      </w:pPr>
      <w:r>
        <w:t>Article 11 — Timeline consequences</w:t>
      </w:r>
    </w:p>
    <w:p>
      <w:r>
        <w:rPr>
          <w:b w:val="0"/>
          <w:i w:val="0"/>
        </w:rPr>
        <w:t>Stated plainly because the circulated materials commit to dates the letter makes unreachable.</w:t>
      </w:r>
    </w:p>
    <w:p>
      <w:pPr>
        <w:spacing w:after="100"/>
        <w:ind w:left="461" w:hanging="461"/>
      </w:pPr>
      <w:r>
        <w:rPr>
          <w:b/>
        </w:rPr>
        <w:t xml:space="preserve">11.1  </w:t>
      </w:r>
      <w:r>
        <w:t>The critical path to resumption is: cynomolgus study design (SR-4) → GLP slot secured → first dose → ≥168 days in-life → terminal phase, pathology and report finalisation → SR-1 → FDA decision within 30 days of receipt → notification (G-2) → conforming amendments and IRB currency (G-4, G-5) → the 42-day symptomatic-sentinel interlock (G-6).</w:t>
      </w:r>
    </w:p>
    <w:p>
      <w:pPr>
        <w:spacing w:after="100"/>
        <w:ind w:left="461" w:hanging="461"/>
      </w:pPr>
      <w:r>
        <w:rPr>
          <w:b/>
        </w:rPr>
        <w:t xml:space="preserve">11.2  </w:t>
      </w:r>
      <w:r>
        <w:t>The mid-June complete response target in REGOPS-MEMO-2025-04-02 §4 is void (A-12). As of the circulated materials no cynomolgus study had been designed, quoted or booked; a study with a ≥168-day in-life period cannot be reported by mid-June 2025 on any schedule.</w:t>
      </w:r>
    </w:p>
    <w:p>
      <w:pPr>
        <w:spacing w:after="100"/>
        <w:ind w:left="461" w:hanging="461"/>
      </w:pPr>
      <w:r>
        <w:rPr>
          <w:b/>
        </w:rPr>
        <w:t xml:space="preserve">11.3  </w:t>
      </w:r>
      <w:r>
        <w:t>The September presymptomatic site-readiness milestone shall not be presented to the steering committee, to sites, to the IRB, or to candidate participants as a date on which the presymptomatic study may open. Site readiness may be maintained; readiness is not authorisation.</w:t>
      </w:r>
    </w:p>
    <w:p>
      <w:pPr>
        <w:spacing w:after="100"/>
        <w:ind w:left="461" w:hanging="461"/>
      </w:pPr>
      <w:r>
        <w:rPr>
          <w:b/>
        </w:rPr>
        <w:t xml:space="preserve">11.4  </w:t>
      </w:r>
      <w:r>
        <w:t>Regulatory Operations shall publish, with the next tracker update, a single dated critical-path schedule built from 11.1, with the in-life period and report-finalisation period shown explicitly, and no step compressed on the assumption that a rebuttal, a dog study, or Agency silence shortens it.</w:t>
      </w:r>
    </w:p>
    <w:p>
      <w:pPr>
        <w:spacing w:after="100"/>
        <w:ind w:left="461" w:hanging="461"/>
      </w:pPr>
      <w:r>
        <w:rPr>
          <w:b/>
        </w:rPr>
        <w:t xml:space="preserve">11.5  </w:t>
      </w:r>
      <w:r>
        <w:t>SR-2 and SR-3 are on their own timeline and should be filed promptly. They are the only near-term regulatory progress available on this IND, and comment 14 (in-use stability supporting dilution before administration) concerns a bedside step being performed in Partition A now.</w:t>
      </w:r>
    </w:p>
    <w:p>
      <w:pPr>
        <w:pStyle w:val="Heading1"/>
      </w:pPr>
      <w:r>
        <w:t>Article 12 — Adoption and change control</w:t>
      </w:r>
    </w:p>
    <w:p>
      <w:pPr>
        <w:spacing w:after="100"/>
        <w:ind w:left="461" w:hanging="461"/>
      </w:pPr>
      <w:r>
        <w:rPr>
          <w:b/>
        </w:rPr>
        <w:t xml:space="preserve">12.1  </w:t>
      </w:r>
      <w:r>
        <w:t>This plan is binding on Regulatory Operations on issuance and supersedes REGOPS-MEMO-2025-04-02 and REGOPS-DRAFT-2025-04-09 to the extent of any inconsistency. REGOPS-DRAFT-2025-04-09 shall be withdrawn from circulation and reissued as skeleton v2 conforming to Articles 4, 5 and 6, with the Reference ID and the A-703 species corrected.</w:t>
      </w:r>
    </w:p>
    <w:p>
      <w:pPr>
        <w:spacing w:after="100"/>
        <w:ind w:left="461" w:hanging="461"/>
      </w:pPr>
      <w:r>
        <w:rPr>
          <w:b/>
        </w:rPr>
        <w:t xml:space="preserve">12.2  </w:t>
      </w:r>
      <w:r>
        <w:t>Provisions labelled FIXED BY LETTER may be changed only by a written Agency communication, which shall be appended to this plan with the date of receipt.</w:t>
      </w:r>
    </w:p>
    <w:p>
      <w:pPr>
        <w:spacing w:after="100"/>
        <w:ind w:left="461" w:hanging="461"/>
      </w:pPr>
      <w:r>
        <w:rPr>
          <w:b/>
        </w:rPr>
        <w:t xml:space="preserve">12.3  </w:t>
      </w:r>
      <w:r>
        <w:t>Provisions labelled SPONSOR DETERMINATION may be changed by Regulatory Operations with the written concurrence of the Senior Director, Prion Therapeutics / Medical Affairs, recorded as a numbered amendment to this plan.</w:t>
      </w:r>
    </w:p>
    <w:p>
      <w:pPr>
        <w:spacing w:after="100"/>
        <w:ind w:left="461" w:hanging="461"/>
      </w:pPr>
      <w:r>
        <w:rPr>
          <w:b/>
        </w:rPr>
        <w:t xml:space="preserve">12.4  </w:t>
      </w:r>
      <w:r>
        <w:t>Items marked UNRESOLVED (S-1, S-8, S-13) shall be tracked to closure with a named owner and shall be reported at each steering committee until closed.</w:t>
      </w:r>
    </w:p>
    <w:p>
      <w:pPr>
        <w:spacing w:after="100"/>
        <w:ind w:left="461" w:hanging="461"/>
      </w:pPr>
      <w:r>
        <w:rPr>
          <w:b/>
        </w:rPr>
        <w:t xml:space="preserve">12.5  </w:t>
      </w:r>
      <w:r>
        <w:t>Any internal document, slide or tracker that states a position inconsistent with this plan shall be corrected or withdrawn. Where a briefing has already been given on a superseded position — in particular the 30-day tacit-authorisation reading (A-3) — the correction shall be made expressly to the same audience.</w:t>
      </w:r>
    </w:p>
    <w:p>
      <w:r>
        <w:br w:type="page"/>
      </w:r>
    </w:p>
    <w:p>
      <w:pPr>
        <w:pStyle w:val="Heading1"/>
      </w:pPr>
      <w:r>
        <w:t>Annex A — Operative passages relied upon (verbatim)</w:t>
      </w:r>
    </w:p>
    <w:p>
      <w:r>
        <w:rPr>
          <w:b w:val="0"/>
          <w:i/>
          <w:sz w:val="19"/>
        </w:rPr>
        <w:t>Quoted from the controlling instrument, Reference ID 5570921, for use in drafting so that drafters need not work from paraphrase.</w:t>
      </w:r>
    </w:p>
    <w:p>
      <w:pPr>
        <w:spacing w:after="100"/>
        <w:ind w:left="360"/>
      </w:pPr>
      <w:r>
        <w:rPr>
          <w:b/>
          <w:i w:val="0"/>
        </w:rPr>
        <w:t xml:space="preserve">Partition — </w:t>
      </w:r>
      <w:r>
        <w:rPr>
          <w:b w:val="0"/>
          <w:i w:val="0"/>
        </w:rPr>
        <w:t>“The protocol titled, ‘An open-label, single ascending dose study to evaluate the safety, tolerability, pharmacokinetics and pharmacodynamics of intrathecally administered PrP-siRNA in adult patients with symptomatic prion disease,’ may proceed. The protocol titled, ‘An open-label, single ascending dose study to evaluate the safety, tolerability, pharmacokinetics and pharmacodynamics of intrathecally administered PrP-siRNA in healthy adult patients at genetic risk for prion disease,’ is on clinical hold and may not be initiated.”</w:t>
      </w:r>
    </w:p>
    <w:p>
      <w:pPr>
        <w:spacing w:after="100"/>
        <w:ind w:left="360"/>
      </w:pPr>
      <w:r>
        <w:rPr>
          <w:b/>
          <w:i w:val="0"/>
        </w:rPr>
        <w:t xml:space="preserve">Deficiency — </w:t>
      </w:r>
      <w:r>
        <w:rPr>
          <w:b w:val="0"/>
          <w:i w:val="0"/>
        </w:rPr>
        <w:t>“21 CFR 312.42(b)(1)(iv): Insufficient information to assess risks to human subjects — The nonclinical data are adequate to support the proposed clinical study in patients with symptomatic prior disease; however, these data are not adequate to support the proposed clinical study in healthy patients at genetic risk for prion disease.”  [The letter’s spelling of “prior” for “prion” is reproduced as written.]</w:t>
      </w:r>
    </w:p>
    <w:p>
      <w:pPr>
        <w:spacing w:after="100"/>
        <w:ind w:left="360"/>
      </w:pPr>
      <w:r>
        <w:rPr>
          <w:b/>
          <w:i w:val="0"/>
        </w:rPr>
        <w:t xml:space="preserve">Basis — </w:t>
      </w:r>
      <w:r>
        <w:rPr>
          <w:b w:val="0"/>
          <w:i w:val="0"/>
        </w:rPr>
        <w:t>“PrP-siRNA is not pharmacologically active in the animal species (rat, dog) used for toxicity testing; therefore, on-target effects were not assessed. PrP-siRNA is pharmacologically active in cynomolgus monkey, and, although the role of prion protein in the nervous system is uncertain, there are concerns that reducing prion protein may have adverse effects on neurobehavioral function (Wulf et al. 2017).”</w:t>
      </w:r>
    </w:p>
    <w:p>
      <w:pPr>
        <w:spacing w:after="100"/>
        <w:ind w:left="360"/>
      </w:pPr>
      <w:r>
        <w:rPr>
          <w:b/>
          <w:i w:val="0"/>
        </w:rPr>
        <w:t xml:space="preserve">Required information — </w:t>
      </w:r>
      <w:r>
        <w:rPr>
          <w:b w:val="0"/>
          <w:i w:val="0"/>
        </w:rPr>
        <w:t>“To support initiation of the proposed study in presymptomatic patients, you will need to conduct a GLP-compliant intrathecal toxicity study in cynomolgus monkey. The study should be of a duration similar to or greater than that proposed for humans.”</w:t>
      </w:r>
    </w:p>
    <w:p>
      <w:pPr>
        <w:spacing w:after="100"/>
        <w:ind w:left="360"/>
      </w:pPr>
      <w:r>
        <w:rPr>
          <w:b/>
          <w:i w:val="0"/>
        </w:rPr>
        <w:t xml:space="preserve">Prohibition and gate — </w:t>
      </w:r>
      <w:r>
        <w:rPr>
          <w:b w:val="0"/>
          <w:i w:val="0"/>
        </w:rPr>
        <w:t>“You may not legally initiate clinical studies except as specified above. Studies that are on clinical hold under this IND may not be initiated until you have submitted the required information and we notify you that you may initiate these clinical studies.”</w:t>
      </w:r>
    </w:p>
    <w:p>
      <w:pPr>
        <w:spacing w:after="100"/>
        <w:ind w:left="360"/>
      </w:pPr>
      <w:r>
        <w:rPr>
          <w:b/>
          <w:i w:val="0"/>
        </w:rPr>
        <w:t xml:space="preserve">Caption and completeness — </w:t>
      </w:r>
      <w:r>
        <w:rPr>
          <w:b w:val="0"/>
          <w:i w:val="0"/>
        </w:rPr>
        <w:t>“Please identify your response to the clinical hold issues as a ‘CLINICAL HOLD COMPLETE RESPONSE.’ An incomplete response will not start the review clock. Your complete response submission should reference, by date, any information previously submitted necessary to fully respond to these clinical hold issues.”</w:t>
      </w:r>
    </w:p>
    <w:p>
      <w:pPr>
        <w:spacing w:after="100"/>
        <w:ind w:left="360"/>
      </w:pPr>
      <w:r>
        <w:rPr>
          <w:b/>
          <w:i w:val="0"/>
        </w:rPr>
        <w:t xml:space="preserve">Decision period — </w:t>
      </w:r>
      <w:r>
        <w:rPr>
          <w:b w:val="0"/>
          <w:i w:val="0"/>
        </w:rPr>
        <w:t>“Following receipt of your complete response to these issues, we will notify you of our decision within 30 days.”</w:t>
      </w:r>
    </w:p>
    <w:p>
      <w:pPr>
        <w:spacing w:after="100"/>
        <w:ind w:left="360"/>
      </w:pPr>
      <w:r>
        <w:rPr>
          <w:b/>
          <w:i w:val="0"/>
        </w:rPr>
        <w:t xml:space="preserve">Separation of non-hold issues — </w:t>
      </w:r>
      <w:r>
        <w:rPr>
          <w:b w:val="0"/>
          <w:i w:val="0"/>
        </w:rPr>
        <w:t>“In addition, we have the following recommendations and/or requests that are not clinical hold issues. Your responses to any non-hold issues should be addressed in a separate amendment to the IND.”</w:t>
      </w:r>
    </w:p>
    <w:p>
      <w:pPr>
        <w:spacing w:after="100"/>
        <w:ind w:left="360"/>
      </w:pPr>
      <w:r>
        <w:rPr>
          <w:b/>
          <w:i w:val="0"/>
        </w:rPr>
        <w:t xml:space="preserve">Scope of comments — </w:t>
      </w:r>
      <w:r>
        <w:rPr>
          <w:b w:val="0"/>
          <w:i w:val="0"/>
        </w:rPr>
        <w:t>“We have the following comments on your proposed single ascending (SAD) study in patients with symptomatic prion disease. At this time, we do not have specific comments on your proposed study in healthy patients at genetic risk of prion disease.”</w:t>
      </w:r>
    </w:p>
    <w:p>
      <w:pPr>
        <w:spacing w:after="100"/>
        <w:ind w:left="360"/>
      </w:pPr>
      <w:r>
        <w:rPr>
          <w:b/>
          <w:i w:val="0"/>
        </w:rPr>
        <w:t xml:space="preserve">First-page citation — </w:t>
      </w:r>
      <w:r>
        <w:rPr>
          <w:b w:val="0"/>
          <w:i w:val="0"/>
        </w:rPr>
        <w:t>“Cite the IND number listed above at the top of the first page of any communications concerning this application.”</w:t>
      </w:r>
    </w:p>
    <w:p>
      <w:pPr>
        <w:spacing w:after="100"/>
        <w:ind w:left="360"/>
      </w:pPr>
      <w:r>
        <w:rPr>
          <w:b/>
          <w:i w:val="0"/>
        </w:rPr>
        <w:t xml:space="preserve">Secure email limitation — </w:t>
      </w:r>
      <w:r>
        <w:rPr>
          <w:b w:val="0"/>
          <w:i w:val="0"/>
        </w:rPr>
        <w:t>“Please note that secure email may not be used for formal regulatory submissions to applications (except for 7-day safety reports for INDs not in eCTD format).”</w:t>
      </w:r>
    </w:p>
    <w:p>
      <w:pPr>
        <w:pStyle w:val="Heading1"/>
      </w:pPr>
      <w:r>
        <w:t>Annex B — Record examined in preparing this plan</w:t>
      </w:r>
    </w:p>
    <w:tbl>
      <w:tblPr>
        <w:tblStyle w:val="TableGrid"/>
        <w:tblW w:type="auto" w:w="0"/>
        <w:jc w:val="center"/>
        <w:tblLook w:firstColumn="1" w:firstRow="1" w:lastColumn="0" w:lastRow="0" w:noHBand="0" w:noVBand="1" w:val="04A0"/>
      </w:tblPr>
      <w:tblGrid>
        <w:gridCol w:w="4824"/>
        <w:gridCol w:w="4824"/>
      </w:tblGrid>
      <w:tr>
        <w:trPr>
          <w:tblHeader/>
        </w:trPr>
        <w:tc>
          <w:tcPr>
            <w:tcW w:type="dxa" w:w="3744"/>
            <w:shd w:val="clear" w:color="auto" w:fill="1F3B57"/>
          </w:tcPr>
          <w:p>
            <w:pPr>
              <w:spacing w:after="40" w:before="40" w:line="240" w:lineRule="auto"/>
            </w:pPr>
            <w:r>
              <w:rPr>
                <w:color w:val="FFFFFF"/>
              </w:rPr>
            </w:r>
            <w:r>
              <w:rPr>
                <w:b/>
                <w:i w:val="0"/>
                <w:color w:val="FFFFFF"/>
                <w:sz w:val="18"/>
              </w:rPr>
              <w:t>Source</w:t>
            </w:r>
          </w:p>
        </w:tc>
        <w:tc>
          <w:tcPr>
            <w:tcW w:type="dxa" w:w="6048"/>
            <w:shd w:val="clear" w:color="auto" w:fill="1F3B57"/>
          </w:tcPr>
          <w:p>
            <w:pPr>
              <w:spacing w:after="40" w:before="40" w:line="240" w:lineRule="auto"/>
            </w:pPr>
            <w:r>
              <w:rPr>
                <w:color w:val="FFFFFF"/>
              </w:rPr>
            </w:r>
            <w:r>
              <w:rPr>
                <w:b/>
                <w:i w:val="0"/>
                <w:color w:val="FFFFFF"/>
                <w:sz w:val="18"/>
              </w:rPr>
              <w:t>Role in this plan</w:t>
            </w:r>
          </w:p>
        </w:tc>
      </w:tr>
      <w:tr>
        <w:tc>
          <w:tcPr>
            <w:tcW w:type="dxa" w:w="3744"/>
          </w:tcPr>
          <w:p>
            <w:pPr>
              <w:spacing w:after="40" w:before="40" w:line="240" w:lineRule="auto"/>
            </w:pPr>
            <w:r/>
            <w:r>
              <w:rPr>
                <w:b w:val="0"/>
                <w:i w:val="0"/>
                <w:sz w:val="18"/>
              </w:rPr>
              <w:t>regulatory/partial_clinical_hold/IND_167326_PartialClinicalHoldLetter.pdf (Reference ID 5570921, signed 11 April 2025)</w:t>
            </w:r>
          </w:p>
        </w:tc>
        <w:tc>
          <w:tcPr>
            <w:tcW w:type="dxa" w:w="6048"/>
          </w:tcPr>
          <w:p>
            <w:pPr>
              <w:spacing w:after="40" w:before="40" w:line="240" w:lineRule="auto"/>
            </w:pPr>
            <w:r/>
            <w:r>
              <w:rPr>
                <w:b w:val="0"/>
                <w:i w:val="0"/>
                <w:sz w:val="18"/>
              </w:rPr>
              <w:t>Controlling instrument. Every FIXED BY LETTER provision derives from it.</w:t>
            </w:r>
          </w:p>
        </w:tc>
      </w:tr>
      <w:tr>
        <w:tc>
          <w:tcPr>
            <w:tcW w:type="dxa" w:w="3744"/>
            <w:shd w:val="clear" w:color="auto" w:fill="F2F5F8"/>
          </w:tcPr>
          <w:p>
            <w:pPr>
              <w:spacing w:after="40" w:before="40" w:line="240" w:lineRule="auto"/>
            </w:pPr>
            <w:r/>
            <w:r>
              <w:rPr>
                <w:b w:val="0"/>
                <w:i w:val="0"/>
                <w:sz w:val="18"/>
              </w:rPr>
              <w:t>clinical/protocols/5.3.5.1.1.symptomatic-protocol.pdf (Version 2025-03-06 v7)</w:t>
            </w:r>
          </w:p>
        </w:tc>
        <w:tc>
          <w:tcPr>
            <w:tcW w:type="dxa" w:w="6048"/>
            <w:shd w:val="clear" w:color="auto" w:fill="F2F5F8"/>
          </w:tcPr>
          <w:p>
            <w:pPr>
              <w:spacing w:after="40" w:before="40" w:line="240" w:lineRule="auto"/>
            </w:pPr>
            <w:r/>
            <w:r>
              <w:rPr>
                <w:b w:val="0"/>
                <w:i w:val="0"/>
                <w:sz w:val="18"/>
              </w:rPr>
              <w:t>Partition A protocol of record; the amended protocol the letter references. Source for eligibility criteria 3 and 6, contraception text, SOA through Day 168 ± 3, cohorts 3/3/9.</w:t>
            </w:r>
          </w:p>
        </w:tc>
      </w:tr>
      <w:tr>
        <w:tc>
          <w:tcPr>
            <w:tcW w:type="dxa" w:w="3744"/>
          </w:tcPr>
          <w:p>
            <w:pPr>
              <w:spacing w:after="40" w:before="40" w:line="240" w:lineRule="auto"/>
            </w:pPr>
            <w:r/>
            <w:r>
              <w:rPr>
                <w:b w:val="0"/>
                <w:i w:val="0"/>
                <w:sz w:val="18"/>
              </w:rPr>
              <w:t>clinical/protocols/5.3.5.1.2.presymptomatic-protocol.pdf (Version 2025-02-02-v6)</w:t>
            </w:r>
          </w:p>
        </w:tc>
        <w:tc>
          <w:tcPr>
            <w:tcW w:type="dxa" w:w="6048"/>
          </w:tcPr>
          <w:p>
            <w:pPr>
              <w:spacing w:after="40" w:before="40" w:line="240" w:lineRule="auto"/>
            </w:pPr>
            <w:r/>
            <w:r>
              <w:rPr>
                <w:b w:val="0"/>
                <w:i w:val="0"/>
                <w:sz w:val="18"/>
              </w:rPr>
              <w:t>Partition B protocol of record. Source for the §5.1.5 42-day interlock, the URGenT repeat-dose reference, and the SOA through Day 168 ± 3.</w:t>
            </w:r>
          </w:p>
        </w:tc>
      </w:tr>
      <w:tr>
        <w:tc>
          <w:tcPr>
            <w:tcW w:type="dxa" w:w="3744"/>
            <w:shd w:val="clear" w:color="auto" w:fill="F2F5F8"/>
          </w:tcPr>
          <w:p>
            <w:pPr>
              <w:spacing w:after="40" w:before="40" w:line="240" w:lineRule="auto"/>
            </w:pPr>
            <w:r/>
            <w:r>
              <w:rPr>
                <w:b w:val="0"/>
                <w:i w:val="0"/>
                <w:sz w:val="18"/>
              </w:rPr>
              <w:t>regulatory/ind/1.20.General-Investigational-Plan.pdf (Serial No. 0003)</w:t>
            </w:r>
          </w:p>
        </w:tc>
        <w:tc>
          <w:tcPr>
            <w:tcW w:type="dxa" w:w="6048"/>
            <w:shd w:val="clear" w:color="auto" w:fill="F2F5F8"/>
          </w:tcPr>
          <w:p>
            <w:pPr>
              <w:spacing w:after="40" w:before="40" w:line="240" w:lineRule="auto"/>
            </w:pPr>
            <w:r/>
            <w:r>
              <w:rPr>
                <w:b w:val="0"/>
                <w:i w:val="0"/>
                <w:sz w:val="18"/>
              </w:rPr>
              <w:t>Source of the comment 5 sample-size discrepancy and of the most recent serial of record.</w:t>
            </w:r>
          </w:p>
        </w:tc>
      </w:tr>
      <w:tr>
        <w:tc>
          <w:tcPr>
            <w:tcW w:type="dxa" w:w="3744"/>
          </w:tcPr>
          <w:p>
            <w:pPr>
              <w:spacing w:after="40" w:before="40" w:line="240" w:lineRule="auto"/>
            </w:pPr>
            <w:r/>
            <w:r>
              <w:rPr>
                <w:b w:val="0"/>
                <w:i w:val="0"/>
                <w:sz w:val="18"/>
              </w:rPr>
              <w:t>regulatory/ind/1.2.Cover-Letter.pdf</w:t>
            </w:r>
          </w:p>
        </w:tc>
        <w:tc>
          <w:tcPr>
            <w:tcW w:type="dxa" w:w="6048"/>
          </w:tcPr>
          <w:p>
            <w:pPr>
              <w:spacing w:after="40" w:before="40" w:line="240" w:lineRule="auto"/>
            </w:pPr>
            <w:r/>
            <w:r>
              <w:rPr>
                <w:b w:val="0"/>
                <w:i w:val="0"/>
                <w:sz w:val="18"/>
              </w:rPr>
              <w:t>Establishes that the IND is not in eCTD format and is filed via the CDER NextGen Portal Research IND Application Builder — the fact that resolves the letter’s conditional submission mechanics.</w:t>
            </w:r>
          </w:p>
        </w:tc>
      </w:tr>
      <w:tr>
        <w:tc>
          <w:tcPr>
            <w:tcW w:type="dxa" w:w="3744"/>
            <w:shd w:val="clear" w:color="auto" w:fill="F2F5F8"/>
          </w:tcPr>
          <w:p>
            <w:pPr>
              <w:spacing w:after="40" w:before="40" w:line="240" w:lineRule="auto"/>
            </w:pPr>
            <w:r/>
            <w:r>
              <w:rPr>
                <w:b w:val="0"/>
                <w:i w:val="0"/>
                <w:sz w:val="18"/>
              </w:rPr>
              <w:t>nonclinical/reports/A-703-01, A-703-02, A-703-03 final reports</w:t>
            </w:r>
          </w:p>
        </w:tc>
        <w:tc>
          <w:tcPr>
            <w:tcW w:type="dxa" w:w="6048"/>
            <w:shd w:val="clear" w:color="auto" w:fill="F2F5F8"/>
          </w:tcPr>
          <w:p>
            <w:pPr>
              <w:spacing w:after="40" w:before="40" w:line="240" w:lineRule="auto"/>
            </w:pPr>
            <w:r/>
            <w:r>
              <w:rPr>
                <w:b w:val="0"/>
                <w:i w:val="0"/>
                <w:sz w:val="18"/>
              </w:rPr>
              <w:t>Species and design of the existing GLP and non-GLP intrathecal studies; basis for correction A-7. No cynomolgus study exists in the reviewed record.</w:t>
            </w:r>
          </w:p>
        </w:tc>
      </w:tr>
      <w:tr>
        <w:tc>
          <w:tcPr>
            <w:tcW w:type="dxa" w:w="3744"/>
          </w:tcPr>
          <w:p>
            <w:pPr>
              <w:spacing w:after="40" w:before="40" w:line="240" w:lineRule="auto"/>
            </w:pPr>
            <w:r/>
            <w:r>
              <w:rPr>
                <w:b w:val="0"/>
                <w:i w:val="0"/>
                <w:sz w:val="18"/>
              </w:rPr>
              <w:t>nonclinical/reports/XT233111, XT235113, XT238083</w:t>
            </w:r>
          </w:p>
        </w:tc>
        <w:tc>
          <w:tcPr>
            <w:tcW w:type="dxa" w:w="6048"/>
          </w:tcPr>
          <w:p>
            <w:pPr>
              <w:spacing w:after="40" w:before="40" w:line="240" w:lineRule="auto"/>
            </w:pPr>
            <w:r/>
            <w:r>
              <w:rPr>
                <w:b w:val="0"/>
                <w:i w:val="0"/>
                <w:sz w:val="18"/>
              </w:rPr>
              <w:t>In-vitro DDI package; confirms no in-vivo pharmacologically responsive species study on file.</w:t>
            </w:r>
          </w:p>
        </w:tc>
      </w:tr>
      <w:tr>
        <w:tc>
          <w:tcPr>
            <w:tcW w:type="dxa" w:w="3744"/>
            <w:shd w:val="clear" w:color="auto" w:fill="F2F5F8"/>
          </w:tcPr>
          <w:p>
            <w:pPr>
              <w:spacing w:after="40" w:before="40" w:line="240" w:lineRule="auto"/>
            </w:pPr>
            <w:r/>
            <w:r>
              <w:rPr>
                <w:b w:val="0"/>
                <w:i w:val="0"/>
                <w:sz w:val="18"/>
              </w:rPr>
              <w:t>clinical/investigator/5.3.2.FDA-1572-Arnold-signed.pdf; 5.3.2.CV_Arnold.pdf</w:t>
            </w:r>
          </w:p>
        </w:tc>
        <w:tc>
          <w:tcPr>
            <w:tcW w:type="dxa" w:w="6048"/>
            <w:shd w:val="clear" w:color="auto" w:fill="F2F5F8"/>
          </w:tcPr>
          <w:p>
            <w:pPr>
              <w:spacing w:after="40" w:before="40" w:line="240" w:lineRule="auto"/>
            </w:pPr>
            <w:r/>
            <w:r>
              <w:rPr>
                <w:b w:val="0"/>
                <w:i w:val="0"/>
                <w:sz w:val="18"/>
              </w:rPr>
              <w:t>Investigator of record for the 15-day distribution list (10.1.1).</w:t>
            </w:r>
          </w:p>
        </w:tc>
      </w:tr>
      <w:tr>
        <w:tc>
          <w:tcPr>
            <w:tcW w:type="dxa" w:w="3744"/>
          </w:tcPr>
          <w:p>
            <w:pPr>
              <w:spacing w:after="40" w:before="40" w:line="240" w:lineRule="auto"/>
            </w:pPr>
            <w:r/>
            <w:r>
              <w:rPr>
                <w:b w:val="0"/>
                <w:i w:val="0"/>
                <w:sz w:val="18"/>
              </w:rPr>
              <w:t>internal/REGOPS-MEMO-2025-04-02_hold-response-strategy.docx</w:t>
            </w:r>
          </w:p>
        </w:tc>
        <w:tc>
          <w:tcPr>
            <w:tcW w:type="dxa" w:w="6048"/>
          </w:tcPr>
          <w:p>
            <w:pPr>
              <w:spacing w:after="40" w:before="40" w:line="240" w:lineRule="auto"/>
            </w:pPr>
            <w:r/>
            <w:r>
              <w:rPr>
                <w:b w:val="0"/>
                <w:i w:val="0"/>
                <w:sz w:val="18"/>
              </w:rPr>
              <w:t>Reconciled at rulings A-1, A-2, A-4, A-12. Expressly a planning document, not a position of record.</w:t>
            </w:r>
          </w:p>
        </w:tc>
      </w:tr>
      <w:tr>
        <w:tc>
          <w:tcPr>
            <w:tcW w:type="dxa" w:w="3744"/>
            <w:shd w:val="clear" w:color="auto" w:fill="F2F5F8"/>
          </w:tcPr>
          <w:p>
            <w:pPr>
              <w:spacing w:after="40" w:before="40" w:line="240" w:lineRule="auto"/>
            </w:pPr>
            <w:r/>
            <w:r>
              <w:rPr>
                <w:b w:val="0"/>
                <w:i w:val="0"/>
                <w:sz w:val="18"/>
              </w:rPr>
              <w:t>internal/REGOPS-DRAFT-2025-04-09_complete-response-skeleton-v1.docx</w:t>
            </w:r>
          </w:p>
        </w:tc>
        <w:tc>
          <w:tcPr>
            <w:tcW w:type="dxa" w:w="6048"/>
            <w:shd w:val="clear" w:color="auto" w:fill="F2F5F8"/>
          </w:tcPr>
          <w:p>
            <w:pPr>
              <w:spacing w:after="40" w:before="40" w:line="240" w:lineRule="auto"/>
            </w:pPr>
            <w:r/>
            <w:r>
              <w:rPr>
                <w:b w:val="0"/>
                <w:i w:val="0"/>
                <w:sz w:val="18"/>
              </w:rPr>
              <w:t>Reconciled at rulings A-2, A-3, A-7, and provisions 1.1.2 and 4.3.3. To be reissued as v2 (12.1).</w:t>
            </w:r>
          </w:p>
        </w:tc>
      </w:tr>
      <w:tr>
        <w:tc>
          <w:tcPr>
            <w:tcW w:type="dxa" w:w="3744"/>
          </w:tcPr>
          <w:p>
            <w:pPr>
              <w:spacing w:after="40" w:before="40" w:line="240" w:lineRule="auto"/>
            </w:pPr>
            <w:r/>
            <w:r>
              <w:rPr>
                <w:b w:val="0"/>
                <w:i w:val="0"/>
                <w:sz w:val="18"/>
              </w:rPr>
              <w:t>internal/NONCLIN-MINUTES-2025-04-08_glp-bridge-options.docx</w:t>
            </w:r>
          </w:p>
        </w:tc>
        <w:tc>
          <w:tcPr>
            <w:tcW w:type="dxa" w:w="6048"/>
          </w:tcPr>
          <w:p>
            <w:pPr>
              <w:spacing w:after="40" w:before="40" w:line="240" w:lineRule="auto"/>
            </w:pPr>
            <w:r/>
            <w:r>
              <w:rPr>
                <w:b w:val="0"/>
                <w:i w:val="0"/>
                <w:sz w:val="18"/>
              </w:rPr>
              <w:t>Reconciled at rulings A-5, A-6, A-7 and provision 5.4.2.</w:t>
            </w:r>
          </w:p>
        </w:tc>
      </w:tr>
      <w:tr>
        <w:tc>
          <w:tcPr>
            <w:tcW w:type="dxa" w:w="3744"/>
            <w:shd w:val="clear" w:color="auto" w:fill="F2F5F8"/>
          </w:tcPr>
          <w:p>
            <w:pPr>
              <w:spacing w:after="40" w:before="40" w:line="240" w:lineRule="auto"/>
            </w:pPr>
            <w:r/>
            <w:r>
              <w:rPr>
                <w:b w:val="0"/>
                <w:i w:val="0"/>
                <w:sz w:val="18"/>
              </w:rPr>
              <w:t>internal/BA-MEMO-2025-03-19_PrP-ELISA-readiness.docx</w:t>
            </w:r>
          </w:p>
        </w:tc>
        <w:tc>
          <w:tcPr>
            <w:tcW w:type="dxa" w:w="6048"/>
            <w:shd w:val="clear" w:color="auto" w:fill="F2F5F8"/>
          </w:tcPr>
          <w:p>
            <w:pPr>
              <w:spacing w:after="40" w:before="40" w:line="240" w:lineRule="auto"/>
            </w:pPr>
            <w:r/>
            <w:r>
              <w:rPr>
                <w:b w:val="0"/>
                <w:i w:val="0"/>
                <w:sz w:val="18"/>
              </w:rPr>
              <w:t>Reconciled at rulings A-8 to A-11 and Article 7 comment 4.</w:t>
            </w:r>
          </w:p>
        </w:tc>
      </w:tr>
      <w:tr>
        <w:tc>
          <w:tcPr>
            <w:tcW w:type="dxa" w:w="3744"/>
          </w:tcPr>
          <w:p>
            <w:pPr>
              <w:spacing w:after="40" w:before="40" w:line="240" w:lineRule="auto"/>
            </w:pPr>
            <w:r/>
            <w:r>
              <w:rPr>
                <w:b w:val="0"/>
                <w:i w:val="0"/>
                <w:sz w:val="18"/>
              </w:rPr>
              <w:t>raw_data/analytic/elisa.tsv, elisa_qc.tsv</w:t>
            </w:r>
          </w:p>
        </w:tc>
        <w:tc>
          <w:tcPr>
            <w:tcW w:type="dxa" w:w="6048"/>
          </w:tcPr>
          <w:p>
            <w:pPr>
              <w:spacing w:after="40" w:before="40" w:line="240" w:lineRule="auto"/>
            </w:pPr>
            <w:r/>
            <w:r>
              <w:rPr>
                <w:b w:val="0"/>
                <w:i w:val="0"/>
                <w:sz w:val="18"/>
              </w:rPr>
              <w:t>Assay QC pools underlying the Bioanalytical position at A-8.</w:t>
            </w:r>
          </w:p>
        </w:tc>
      </w:tr>
      <w:tr>
        <w:tc>
          <w:tcPr>
            <w:tcW w:type="dxa" w:w="3744"/>
            <w:shd w:val="clear" w:color="auto" w:fill="F2F5F8"/>
          </w:tcPr>
          <w:p>
            <w:pPr>
              <w:spacing w:after="40" w:before="40" w:line="240" w:lineRule="auto"/>
            </w:pPr>
            <w:r/>
            <w:r>
              <w:rPr>
                <w:b w:val="0"/>
                <w:i w:val="0"/>
                <w:sz w:val="18"/>
              </w:rPr>
              <w:t>translational/Tg25109, Tg26372 transgene mapping reports</w:t>
            </w:r>
          </w:p>
        </w:tc>
        <w:tc>
          <w:tcPr>
            <w:tcW w:type="dxa" w:w="6048"/>
            <w:shd w:val="clear" w:color="auto" w:fill="F2F5F8"/>
          </w:tcPr>
          <w:p>
            <w:pPr>
              <w:spacing w:after="40" w:before="40" w:line="240" w:lineRule="auto"/>
            </w:pPr>
            <w:r/>
            <w:r>
              <w:rPr>
                <w:b w:val="0"/>
                <w:i w:val="0"/>
                <w:sz w:val="18"/>
              </w:rPr>
              <w:t>The humanised-mouse package addressed at 4.4.3.</w:t>
            </w:r>
          </w:p>
        </w:tc>
      </w:tr>
    </w:tbl>
    <w:p>
      <w:pPr>
        <w:spacing w:after="40"/>
      </w:pPr>
    </w:p>
    <w:p/>
    <w:p>
      <w:pPr>
        <w:jc w:val="center"/>
      </w:pPr>
      <w:r>
        <w:rPr>
          <w:b/>
          <w:i w:val="0"/>
        </w:rPr>
        <w:t>END OF PLAN</w:t>
      </w:r>
    </w:p>
    <w:sectPr w:rsidR="00FC693F" w:rsidRPr="0006063C" w:rsidSect="00034616">
      <w:footerReference w:type="default" r:id="rId9"/>
      <w:pgSz w:w="12240" w:h="15840"/>
      <w:pgMar w:top="1224"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IND 167326 — Hold Adjudication and Partitioning Plan  |  Internal / Confidential  |  Cite IND 167326 at the top of the first page of any communication concerning this application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Calibri" w:hAnsi="Calibri"/>
      <w:b/>
      <w:bCs/>
      <w:color w:val="1F3B57"/>
      <w:sz w:val="28"/>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Calibri" w:hAnsi="Calibri"/>
      <w:b/>
      <w:bCs/>
      <w:color w:val="1F3B57"/>
      <w:sz w:val="23"/>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Calibri" w:hAnsi="Calibri"/>
      <w:b/>
      <w:bCs/>
      <w:color w:val="333333"/>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