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AVI-355 commitment-lot stability</w:t>
        <w:br/>
        <w:t>specification acceptability check</w:t>
      </w:r>
    </w:p>
    <w:p>
      <w:pPr>
        <w:pStyle w:val="Subtitle"/>
        <w:spacing w:after="240"/>
      </w:pPr>
      <w:r>
        <w:t>Kelvoran Concentrate for Solution for Infusion</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cantSplit/>
        </w:trPr>
        <w:tc>
          <w:tcPr>
            <w:tcW w:type="dxa" w:w="1656"/>
            <w:shd w:fill="D9E2F3"/>
            <w:vAlign w:val="center"/>
            <w:tcMar>
              <w:top w:w="70" w:type="dxa"/>
              <w:start w:w="90" w:type="dxa"/>
              <w:bottom w:w="70" w:type="dxa"/>
              <w:end w:w="90" w:type="dxa"/>
            </w:tcMar>
          </w:tcPr>
          <w:p>
            <w:pPr>
              <w:spacing w:after="0" w:line="240" w:lineRule="auto"/>
            </w:pPr>
            <w:r>
              <w:rPr>
                <w:rFonts w:ascii="Arial" w:hAnsi="Arial"/>
                <w:b/>
                <w:sz w:val="16"/>
              </w:rPr>
              <w:t>Prepared for</w:t>
            </w:r>
          </w:p>
        </w:tc>
        <w:tc>
          <w:tcPr>
            <w:tcW w:type="dxa" w:w="3672"/>
            <w:vAlign w:val="center"/>
            <w:tcMar>
              <w:top w:w="70" w:type="dxa"/>
              <w:start w:w="90" w:type="dxa"/>
              <w:bottom w:w="70" w:type="dxa"/>
              <w:end w:w="90" w:type="dxa"/>
            </w:tcMar>
          </w:tcPr>
          <w:p>
            <w:pPr>
              <w:spacing w:after="0" w:line="240" w:lineRule="auto"/>
            </w:pPr>
            <w:r>
              <w:rPr>
                <w:rFonts w:ascii="Arial" w:hAnsi="Arial"/>
                <w:sz w:val="16"/>
              </w:rPr>
              <w:t>Leena Rao</w:t>
            </w:r>
          </w:p>
        </w:tc>
        <w:tc>
          <w:tcPr>
            <w:tcW w:type="dxa" w:w="1728"/>
            <w:shd w:fill="D9E2F3"/>
            <w:vAlign w:val="center"/>
            <w:tcMar>
              <w:top w:w="70" w:type="dxa"/>
              <w:start w:w="90" w:type="dxa"/>
              <w:bottom w:w="70" w:type="dxa"/>
              <w:end w:w="90" w:type="dxa"/>
            </w:tcMar>
          </w:tcPr>
          <w:p>
            <w:pPr>
              <w:spacing w:after="0" w:line="240" w:lineRule="auto"/>
            </w:pPr>
            <w:r>
              <w:rPr>
                <w:rFonts w:ascii="Arial" w:hAnsi="Arial"/>
                <w:b/>
                <w:sz w:val="16"/>
              </w:rPr>
              <w:t>Date</w:t>
            </w:r>
          </w:p>
        </w:tc>
        <w:tc>
          <w:tcPr>
            <w:tcW w:type="dxa" w:w="3240"/>
            <w:vAlign w:val="center"/>
            <w:tcMar>
              <w:top w:w="70" w:type="dxa"/>
              <w:start w:w="90" w:type="dxa"/>
              <w:bottom w:w="70" w:type="dxa"/>
              <w:end w:w="90" w:type="dxa"/>
            </w:tcMar>
          </w:tcPr>
          <w:p>
            <w:pPr>
              <w:spacing w:after="0" w:line="240" w:lineRule="auto"/>
            </w:pPr>
            <w:r>
              <w:rPr>
                <w:rFonts w:ascii="Arial" w:hAnsi="Arial"/>
                <w:sz w:val="16"/>
              </w:rPr>
              <w:t>08 February 2027</w:t>
            </w:r>
          </w:p>
        </w:tc>
      </w:tr>
      <w:tr>
        <w:trPr>
          <w:cantSplit/>
        </w:trPr>
        <w:tc>
          <w:tcPr>
            <w:tcW w:type="dxa" w:w="1656"/>
            <w:shd w:fill="D9E2F3"/>
            <w:vAlign w:val="center"/>
            <w:tcMar>
              <w:top w:w="70" w:type="dxa"/>
              <w:start w:w="90" w:type="dxa"/>
              <w:bottom w:w="70" w:type="dxa"/>
              <w:end w:w="90" w:type="dxa"/>
            </w:tcMar>
          </w:tcPr>
          <w:p>
            <w:pPr>
              <w:spacing w:after="0" w:line="240" w:lineRule="auto"/>
            </w:pPr>
            <w:r>
              <w:rPr>
                <w:rFonts w:ascii="Arial" w:hAnsi="Arial"/>
                <w:b/>
                <w:sz w:val="16"/>
              </w:rPr>
              <w:t>Scope</w:t>
            </w:r>
          </w:p>
        </w:tc>
        <w:tc>
          <w:tcPr>
            <w:tcW w:type="dxa" w:w="3672"/>
            <w:vAlign w:val="center"/>
            <w:tcMar>
              <w:top w:w="70" w:type="dxa"/>
              <w:start w:w="90" w:type="dxa"/>
              <w:bottom w:w="70" w:type="dxa"/>
              <w:end w:w="90" w:type="dxa"/>
            </w:tcMar>
          </w:tcPr>
          <w:p>
            <w:pPr>
              <w:spacing w:after="0" w:line="240" w:lineRule="auto"/>
            </w:pPr>
            <w:r>
              <w:rPr>
                <w:rFonts w:ascii="Arial" w:hAnsi="Arial"/>
                <w:sz w:val="16"/>
              </w:rPr>
              <w:t>Reported commitment-lot stability results</w:t>
            </w:r>
          </w:p>
        </w:tc>
        <w:tc>
          <w:tcPr>
            <w:tcW w:type="dxa" w:w="1728"/>
            <w:shd w:fill="D9E2F3"/>
            <w:vAlign w:val="center"/>
            <w:tcMar>
              <w:top w:w="70" w:type="dxa"/>
              <w:start w:w="90" w:type="dxa"/>
              <w:bottom w:w="70" w:type="dxa"/>
              <w:end w:w="90" w:type="dxa"/>
            </w:tcMar>
          </w:tcPr>
          <w:p>
            <w:pPr>
              <w:spacing w:after="0" w:line="240" w:lineRule="auto"/>
            </w:pPr>
            <w:r>
              <w:rPr>
                <w:rFonts w:ascii="Arial" w:hAnsi="Arial"/>
                <w:b/>
                <w:sz w:val="16"/>
              </w:rPr>
              <w:t>Assessment status</w:t>
            </w:r>
          </w:p>
        </w:tc>
        <w:tc>
          <w:tcPr>
            <w:tcW w:type="dxa" w:w="3240"/>
            <w:vAlign w:val="center"/>
            <w:tcMar>
              <w:top w:w="70" w:type="dxa"/>
              <w:start w:w="90" w:type="dxa"/>
              <w:bottom w:w="70" w:type="dxa"/>
              <w:end w:w="90" w:type="dxa"/>
            </w:tcMar>
          </w:tcPr>
          <w:p>
            <w:pPr>
              <w:spacing w:after="0" w:line="240" w:lineRule="auto"/>
            </w:pPr>
            <w:r>
              <w:rPr>
                <w:rFonts w:ascii="Arial" w:hAnsi="Arial"/>
                <w:sz w:val="16"/>
              </w:rPr>
              <w:t>QA check</w:t>
            </w:r>
          </w:p>
        </w:tc>
      </w:tr>
      <w:tr>
        <w:trPr>
          <w:cantSplit/>
        </w:trPr>
        <w:tc>
          <w:tcPr>
            <w:tcW w:type="dxa" w:w="1656"/>
            <w:shd w:fill="D9E2F3"/>
            <w:vAlign w:val="center"/>
            <w:tcMar>
              <w:top w:w="70" w:type="dxa"/>
              <w:start w:w="90" w:type="dxa"/>
              <w:bottom w:w="70" w:type="dxa"/>
              <w:end w:w="90" w:type="dxa"/>
            </w:tcMar>
          </w:tcPr>
          <w:p>
            <w:pPr>
              <w:spacing w:after="0" w:line="240" w:lineRule="auto"/>
            </w:pPr>
            <w:r>
              <w:rPr>
                <w:rFonts w:ascii="Arial" w:hAnsi="Arial"/>
                <w:b/>
                <w:sz w:val="16"/>
              </w:rPr>
              <w:t>Product</w:t>
            </w:r>
          </w:p>
        </w:tc>
        <w:tc>
          <w:tcPr>
            <w:tcW w:type="dxa" w:w="3672"/>
            <w:vAlign w:val="center"/>
            <w:tcMar>
              <w:top w:w="70" w:type="dxa"/>
              <w:start w:w="90" w:type="dxa"/>
              <w:bottom w:w="70" w:type="dxa"/>
              <w:end w:w="90" w:type="dxa"/>
            </w:tcMar>
          </w:tcPr>
          <w:p>
            <w:pPr>
              <w:spacing w:after="0" w:line="240" w:lineRule="auto"/>
            </w:pPr>
            <w:r>
              <w:rPr>
                <w:rFonts w:ascii="Arial" w:hAnsi="Arial"/>
                <w:sz w:val="16"/>
              </w:rPr>
              <w:t>AVI-355 (Kelvoran)</w:t>
            </w:r>
          </w:p>
        </w:tc>
        <w:tc>
          <w:tcPr>
            <w:tcW w:type="dxa" w:w="1728"/>
            <w:shd w:fill="D9E2F3"/>
            <w:vAlign w:val="center"/>
            <w:tcMar>
              <w:top w:w="70" w:type="dxa"/>
              <w:start w:w="90" w:type="dxa"/>
              <w:bottom w:w="70" w:type="dxa"/>
              <w:end w:w="90" w:type="dxa"/>
            </w:tcMar>
          </w:tcPr>
          <w:p>
            <w:pPr>
              <w:spacing w:after="0" w:line="240" w:lineRule="auto"/>
            </w:pPr>
            <w:r>
              <w:rPr>
                <w:rFonts w:ascii="Arial" w:hAnsi="Arial"/>
                <w:b/>
                <w:sz w:val="16"/>
              </w:rPr>
              <w:t>Specification assessed</w:t>
            </w:r>
          </w:p>
        </w:tc>
        <w:tc>
          <w:tcPr>
            <w:tcW w:type="dxa" w:w="3240"/>
            <w:vAlign w:val="center"/>
            <w:tcMar>
              <w:top w:w="70" w:type="dxa"/>
              <w:start w:w="90" w:type="dxa"/>
              <w:bottom w:w="70" w:type="dxa"/>
              <w:end w:w="90" w:type="dxa"/>
            </w:tcMar>
          </w:tcPr>
          <w:p>
            <w:pPr>
              <w:spacing w:after="0" w:line="240" w:lineRule="auto"/>
            </w:pPr>
            <w:r>
              <w:rPr>
                <w:rFonts w:ascii="Arial" w:hAnsi="Arial"/>
                <w:sz w:val="16"/>
              </w:rPr>
              <w:t>AVT-SPEC-022, version 04</w:t>
            </w:r>
          </w:p>
        </w:tc>
      </w:tr>
    </w:tbl>
    <w:p>
      <w:pPr>
        <w:pStyle w:val="Heading1"/>
        <w:keepNext/>
      </w:pPr>
      <w:r>
        <w:t>1. Determination</w:t>
      </w:r>
    </w:p>
    <w:tbl>
      <w:tblPr>
        <w:tblW w:type="auto" w:w="0"/>
        <w:tblLook w:firstColumn="1" w:firstRow="1" w:lastColumn="0" w:lastRow="0" w:noHBand="0" w:noVBand="1" w:val="04A0"/>
      </w:tblPr>
      <w:tblGrid>
        <w:gridCol w:w="10166"/>
      </w:tblGrid>
      <w:tr>
        <w:tc>
          <w:tcPr>
            <w:tcW w:type="dxa" w:w="10166"/>
            <w:shd w:fill="FCE4D6"/>
            <w:tcMar>
              <w:top w:w="140" w:type="dxa"/>
              <w:start w:w="150" w:type="dxa"/>
              <w:bottom w:w="140" w:type="dxa"/>
              <w:end w:w="150" w:type="dxa"/>
            </w:tcMar>
          </w:tcPr>
          <w:p>
            <w:r>
              <w:rPr>
                <w:b/>
                <w:color w:val="C00000"/>
                <w:sz w:val="22"/>
              </w:rPr>
              <w:t xml:space="preserve">NOT ALL REPORTED RESULTS ARE ACCEPTABLE. </w:t>
            </w:r>
            <w:r>
              <w:rPr>
                <w:b/>
                <w:sz w:val="20"/>
              </w:rPr>
              <w:t>One reportable result is out of specification against the specification in force: Impurity K1 for lot AVI355-C22 at the 6-month accelerated pull, 0.24% area, versus NMT 0.20%.</w:t>
            </w:r>
          </w:p>
        </w:tc>
      </w:tr>
    </w:tbl>
    <w:p>
      <w:r>
        <w:rPr>
          <w:b/>
        </w:rPr>
        <w:t xml:space="preserve">Scope qualification. </w:t>
      </w:r>
      <w:r>
        <w:t>The current approved long-term interim report, AVT-STB-342, is correct that all long-term results through 18 months comply. That conclusion cannot be extended to the complete commitment-lot data set: the separate accelerated study contains the OOS result above.</w:t>
      </w:r>
    </w:p>
    <w:p>
      <w:pPr>
        <w:pStyle w:val="Heading1"/>
        <w:keepNext/>
      </w:pPr>
      <w:r>
        <w:t>2. Specification in force</w:t>
      </w:r>
    </w:p>
    <w:p>
      <w:r>
        <w:rPr>
          <w:b/>
        </w:rPr>
        <w:t xml:space="preserve">Applicable controlled specification: </w:t>
      </w:r>
      <w:r>
        <w:t>AVT-SPEC-022, version 04, status EFFECTIVE, effective 15 June 2024. It applies to AVI-355 in CCS-AVI355-03 made by AVI355-PROC-v05. Both stability workbooks identify AVI355-SPEC-v04, and both studies began on 01 March 2025; therefore version 04 was effective before study initiation and before every result assessed.</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cantSplit/>
        </w:trPr>
        <w:tc>
          <w:tcPr>
            <w:tcW w:type="dxa" w:w="2016"/>
            <w:shd w:fill="17365D"/>
            <w:vAlign w:val="center"/>
            <w:tcMar>
              <w:top w:w="70" w:type="dxa"/>
              <w:start w:w="90" w:type="dxa"/>
              <w:bottom w:w="70" w:type="dxa"/>
              <w:end w:w="90" w:type="dxa"/>
            </w:tcMar>
          </w:tcPr>
          <w:p>
            <w:pPr>
              <w:spacing w:after="0" w:line="240" w:lineRule="auto"/>
            </w:pPr>
            <w:r>
              <w:rPr>
                <w:rFonts w:ascii="Arial" w:hAnsi="Arial"/>
                <w:b/>
                <w:color w:val="FFFFFF"/>
                <w:sz w:val="16"/>
              </w:rPr>
              <w:t>Test</w:t>
            </w:r>
          </w:p>
        </w:tc>
        <w:tc>
          <w:tcPr>
            <w:tcW w:type="dxa" w:w="1944"/>
            <w:shd w:fill="17365D"/>
            <w:vAlign w:val="center"/>
            <w:tcMar>
              <w:top w:w="70" w:type="dxa"/>
              <w:start w:w="90" w:type="dxa"/>
              <w:bottom w:w="70" w:type="dxa"/>
              <w:end w:w="90" w:type="dxa"/>
            </w:tcMar>
          </w:tcPr>
          <w:p>
            <w:pPr>
              <w:spacing w:after="0" w:line="240" w:lineRule="auto"/>
            </w:pPr>
            <w:r>
              <w:rPr>
                <w:rFonts w:ascii="Arial" w:hAnsi="Arial"/>
                <w:b/>
                <w:color w:val="FFFFFF"/>
                <w:sz w:val="16"/>
              </w:rPr>
              <w:t>Version 04 criterion</w:t>
            </w:r>
          </w:p>
        </w:tc>
        <w:tc>
          <w:tcPr>
            <w:tcW w:type="dxa" w:w="3096"/>
            <w:shd w:fill="17365D"/>
            <w:vAlign w:val="center"/>
            <w:tcMar>
              <w:top w:w="70" w:type="dxa"/>
              <w:start w:w="90" w:type="dxa"/>
              <w:bottom w:w="70" w:type="dxa"/>
              <w:end w:w="90" w:type="dxa"/>
            </w:tcMar>
          </w:tcPr>
          <w:p>
            <w:pPr>
              <w:spacing w:after="0" w:line="240" w:lineRule="auto"/>
            </w:pPr>
            <w:r>
              <w:rPr>
                <w:rFonts w:ascii="Arial" w:hAnsi="Arial"/>
                <w:b/>
                <w:color w:val="FFFFFF"/>
                <w:sz w:val="16"/>
              </w:rPr>
              <w:t>Assessment rule</w:t>
            </w:r>
          </w:p>
        </w:tc>
        <w:tc>
          <w:tcPr>
            <w:tcW w:type="dxa" w:w="3528"/>
            <w:shd w:fill="17365D"/>
            <w:vAlign w:val="center"/>
            <w:tcMar>
              <w:top w:w="70" w:type="dxa"/>
              <w:start w:w="90" w:type="dxa"/>
              <w:bottom w:w="70" w:type="dxa"/>
              <w:end w:w="90" w:type="dxa"/>
            </w:tcMar>
          </w:tcPr>
          <w:p>
            <w:pPr>
              <w:spacing w:after="0" w:line="240" w:lineRule="auto"/>
            </w:pPr>
            <w:r>
              <w:rPr>
                <w:rFonts w:ascii="Arial" w:hAnsi="Arial"/>
                <w:b/>
                <w:color w:val="FFFFFF"/>
                <w:sz w:val="16"/>
              </w:rPr>
              <w:t>Relevance</w:t>
            </w:r>
          </w:p>
        </w:tc>
      </w:tr>
      <w:tr>
        <w:trPr>
          <w:cantSplit/>
        </w:trPr>
        <w:tc>
          <w:tcPr>
            <w:tcW w:type="dxa" w:w="2016"/>
            <w:vAlign w:val="center"/>
            <w:tcMar>
              <w:top w:w="70" w:type="dxa"/>
              <w:start w:w="90" w:type="dxa"/>
              <w:bottom w:w="70" w:type="dxa"/>
              <w:end w:w="90" w:type="dxa"/>
            </w:tcMar>
          </w:tcPr>
          <w:p>
            <w:pPr>
              <w:spacing w:after="0" w:line="240" w:lineRule="auto"/>
            </w:pPr>
            <w:r>
              <w:rPr>
                <w:rFonts w:ascii="Arial" w:hAnsi="Arial"/>
                <w:sz w:val="16"/>
              </w:rPr>
              <w:t>Impurity K1 (IMPK1)</w:t>
            </w:r>
          </w:p>
        </w:tc>
        <w:tc>
          <w:tcPr>
            <w:tcW w:type="dxa" w:w="1944"/>
            <w:vAlign w:val="center"/>
            <w:tcMar>
              <w:top w:w="70" w:type="dxa"/>
              <w:start w:w="90" w:type="dxa"/>
              <w:bottom w:w="70" w:type="dxa"/>
              <w:end w:w="90" w:type="dxa"/>
            </w:tcMar>
          </w:tcPr>
          <w:p>
            <w:pPr>
              <w:spacing w:after="0" w:line="240" w:lineRule="auto"/>
            </w:pPr>
            <w:r>
              <w:rPr>
                <w:rFonts w:ascii="Arial" w:hAnsi="Arial"/>
                <w:sz w:val="16"/>
              </w:rPr>
              <w:t>NMT 0.20% area</w:t>
            </w:r>
          </w:p>
        </w:tc>
        <w:tc>
          <w:tcPr>
            <w:tcW w:type="dxa" w:w="3096"/>
            <w:vAlign w:val="center"/>
            <w:tcMar>
              <w:top w:w="70" w:type="dxa"/>
              <w:start w:w="90" w:type="dxa"/>
              <w:bottom w:w="70" w:type="dxa"/>
              <w:end w:w="90" w:type="dxa"/>
            </w:tcMar>
          </w:tcPr>
          <w:p>
            <w:pPr>
              <w:spacing w:after="0" w:line="240" w:lineRule="auto"/>
            </w:pPr>
            <w:r>
              <w:rPr>
                <w:rFonts w:ascii="Arial" w:hAnsi="Arial"/>
                <w:sz w:val="16"/>
              </w:rPr>
              <w:t>A value ≤0.20% passes; a value &gt;0.20% fails.</w:t>
            </w:r>
          </w:p>
        </w:tc>
        <w:tc>
          <w:tcPr>
            <w:tcW w:type="dxa" w:w="3528"/>
            <w:vAlign w:val="center"/>
            <w:tcMar>
              <w:top w:w="70" w:type="dxa"/>
              <w:start w:w="90" w:type="dxa"/>
              <w:bottom w:w="70" w:type="dxa"/>
              <w:end w:w="90" w:type="dxa"/>
            </w:tcMar>
          </w:tcPr>
          <w:p>
            <w:pPr>
              <w:spacing w:after="0" w:line="240" w:lineRule="auto"/>
            </w:pPr>
            <w:r>
              <w:rPr>
                <w:rFonts w:ascii="Arial" w:hAnsi="Arial"/>
                <w:sz w:val="16"/>
              </w:rPr>
              <w:t>Controlling limit for the result at issue.</w:t>
            </w:r>
          </w:p>
        </w:tc>
      </w:tr>
      <w:tr>
        <w:trPr>
          <w:cantSplit/>
        </w:trPr>
        <w:tc>
          <w:tcPr>
            <w:tcW w:type="dxa" w:w="2016"/>
            <w:vAlign w:val="center"/>
            <w:tcMar>
              <w:top w:w="70" w:type="dxa"/>
              <w:start w:w="90" w:type="dxa"/>
              <w:bottom w:w="70" w:type="dxa"/>
              <w:end w:w="90" w:type="dxa"/>
            </w:tcMar>
          </w:tcPr>
          <w:p>
            <w:pPr>
              <w:spacing w:after="0" w:line="240" w:lineRule="auto"/>
            </w:pPr>
            <w:r>
              <w:rPr>
                <w:rFonts w:ascii="Arial" w:hAnsi="Arial"/>
                <w:sz w:val="16"/>
              </w:rPr>
              <w:t>Impurity K2 (IMPK2)</w:t>
            </w:r>
          </w:p>
        </w:tc>
        <w:tc>
          <w:tcPr>
            <w:tcW w:type="dxa" w:w="1944"/>
            <w:vAlign w:val="center"/>
            <w:tcMar>
              <w:top w:w="70" w:type="dxa"/>
              <w:start w:w="90" w:type="dxa"/>
              <w:bottom w:w="70" w:type="dxa"/>
              <w:end w:w="90" w:type="dxa"/>
            </w:tcMar>
          </w:tcPr>
          <w:p>
            <w:pPr>
              <w:spacing w:after="0" w:line="240" w:lineRule="auto"/>
            </w:pPr>
            <w:r>
              <w:rPr>
                <w:rFonts w:ascii="Arial" w:hAnsi="Arial"/>
                <w:sz w:val="16"/>
              </w:rPr>
              <w:t>NMT 0.15% area</w:t>
            </w:r>
          </w:p>
        </w:tc>
        <w:tc>
          <w:tcPr>
            <w:tcW w:type="dxa" w:w="3096"/>
            <w:vAlign w:val="center"/>
            <w:tcMar>
              <w:top w:w="70" w:type="dxa"/>
              <w:start w:w="90" w:type="dxa"/>
              <w:bottom w:w="70" w:type="dxa"/>
              <w:end w:w="90" w:type="dxa"/>
            </w:tcMar>
          </w:tcPr>
          <w:p>
            <w:pPr>
              <w:spacing w:after="0" w:line="240" w:lineRule="auto"/>
            </w:pPr>
            <w:r>
              <w:rPr>
                <w:rFonts w:ascii="Arial" w:hAnsi="Arial"/>
                <w:sz w:val="16"/>
              </w:rPr>
              <w:t>Direct comparison at reported precision.</w:t>
            </w:r>
          </w:p>
        </w:tc>
        <w:tc>
          <w:tcPr>
            <w:tcW w:type="dxa" w:w="3528"/>
            <w:vAlign w:val="center"/>
            <w:tcMar>
              <w:top w:w="70" w:type="dxa"/>
              <w:start w:w="90" w:type="dxa"/>
              <w:bottom w:w="70" w:type="dxa"/>
              <w:end w:w="90" w:type="dxa"/>
            </w:tcMar>
          </w:tcPr>
          <w:p>
            <w:pPr>
              <w:spacing w:after="0" w:line="240" w:lineRule="auto"/>
            </w:pPr>
            <w:r>
              <w:rPr>
                <w:rFonts w:ascii="Arial" w:hAnsi="Arial"/>
                <w:sz w:val="16"/>
              </w:rPr>
              <w:t>All reported values comply.</w:t>
            </w:r>
          </w:p>
        </w:tc>
      </w:tr>
      <w:tr>
        <w:trPr>
          <w:cantSplit/>
        </w:trPr>
        <w:tc>
          <w:tcPr>
            <w:tcW w:type="dxa" w:w="2016"/>
            <w:vAlign w:val="center"/>
            <w:tcMar>
              <w:top w:w="70" w:type="dxa"/>
              <w:start w:w="90" w:type="dxa"/>
              <w:bottom w:w="70" w:type="dxa"/>
              <w:end w:w="90" w:type="dxa"/>
            </w:tcMar>
          </w:tcPr>
          <w:p>
            <w:pPr>
              <w:spacing w:after="0" w:line="240" w:lineRule="auto"/>
            </w:pPr>
            <w:r>
              <w:rPr>
                <w:rFonts w:ascii="Arial" w:hAnsi="Arial"/>
                <w:sz w:val="16"/>
              </w:rPr>
              <w:t>Total impurities (IMPT)</w:t>
            </w:r>
          </w:p>
        </w:tc>
        <w:tc>
          <w:tcPr>
            <w:tcW w:type="dxa" w:w="1944"/>
            <w:vAlign w:val="center"/>
            <w:tcMar>
              <w:top w:w="70" w:type="dxa"/>
              <w:start w:w="90" w:type="dxa"/>
              <w:bottom w:w="70" w:type="dxa"/>
              <w:end w:w="90" w:type="dxa"/>
            </w:tcMar>
          </w:tcPr>
          <w:p>
            <w:pPr>
              <w:spacing w:after="0" w:line="240" w:lineRule="auto"/>
            </w:pPr>
            <w:r>
              <w:rPr>
                <w:rFonts w:ascii="Arial" w:hAnsi="Arial"/>
                <w:sz w:val="16"/>
              </w:rPr>
              <w:t>NMT 0.50% area</w:t>
            </w:r>
          </w:p>
        </w:tc>
        <w:tc>
          <w:tcPr>
            <w:tcW w:type="dxa" w:w="3096"/>
            <w:vAlign w:val="center"/>
            <w:tcMar>
              <w:top w:w="70" w:type="dxa"/>
              <w:start w:w="90" w:type="dxa"/>
              <w:bottom w:w="70" w:type="dxa"/>
              <w:end w:w="90" w:type="dxa"/>
            </w:tcMar>
          </w:tcPr>
          <w:p>
            <w:pPr>
              <w:spacing w:after="0" w:line="240" w:lineRule="auto"/>
            </w:pPr>
            <w:r>
              <w:rPr>
                <w:rFonts w:ascii="Arial" w:hAnsi="Arial"/>
                <w:sz w:val="16"/>
              </w:rPr>
              <w:t>Separate criterion; it does not override an individual-impurity limit.</w:t>
            </w:r>
          </w:p>
        </w:tc>
        <w:tc>
          <w:tcPr>
            <w:tcW w:type="dxa" w:w="3528"/>
            <w:vAlign w:val="center"/>
            <w:tcMar>
              <w:top w:w="70" w:type="dxa"/>
              <w:start w:w="90" w:type="dxa"/>
              <w:bottom w:w="70" w:type="dxa"/>
              <w:end w:w="90" w:type="dxa"/>
            </w:tcMar>
          </w:tcPr>
          <w:p>
            <w:pPr>
              <w:spacing w:after="0" w:line="240" w:lineRule="auto"/>
            </w:pPr>
            <w:r>
              <w:rPr>
                <w:rFonts w:ascii="Arial" w:hAnsi="Arial"/>
                <w:sz w:val="16"/>
              </w:rPr>
              <w:t>The 0.30% total at the affected pull passes, but K1 still fails.</w:t>
            </w:r>
          </w:p>
        </w:tc>
      </w:tr>
    </w:tbl>
    <w:p>
      <w:r>
        <w:rPr>
          <w:b/>
        </w:rPr>
        <w:t xml:space="preserve">Superseded criterion must not be used. </w:t>
      </w:r>
      <w:r>
        <w:t>Version 03 is marked “SUPERSEDED — RETAINED FOR REFERENCE ONLY” and expressly directs users not to evaluate current results against it. Its former K1 limit was NMT 0.30%; although 0.24% would satisfy that historical limit, it is not the criterion in force. Version 04 tightened K1 to NMT 0.20% on qualification data.</w:t>
      </w:r>
    </w:p>
    <w:p>
      <w:pPr>
        <w:pStyle w:val="Heading1"/>
        <w:keepNext/>
      </w:pPr>
      <w:r>
        <w:t>3. Results reviewed and outcome</w:t>
      </w:r>
    </w:p>
    <w:tbl>
      <w:tblPr>
        <w:tblStyle w:val="TableGrid"/>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cantSplit/>
        </w:trPr>
        <w:tc>
          <w:tcPr>
            <w:tcW w:type="dxa" w:w="2448"/>
            <w:shd w:fill="17365D"/>
            <w:vAlign w:val="center"/>
            <w:tcMar>
              <w:top w:w="70" w:type="dxa"/>
              <w:start w:w="90" w:type="dxa"/>
              <w:bottom w:w="70" w:type="dxa"/>
              <w:end w:w="90" w:type="dxa"/>
            </w:tcMar>
          </w:tcPr>
          <w:p>
            <w:pPr>
              <w:spacing w:after="0" w:line="240" w:lineRule="auto"/>
            </w:pPr>
            <w:r>
              <w:rPr>
                <w:rFonts w:ascii="Arial" w:hAnsi="Arial"/>
                <w:b/>
                <w:color w:val="FFFFFF"/>
                <w:sz w:val="16"/>
              </w:rPr>
              <w:t>Study / condition</w:t>
            </w:r>
          </w:p>
        </w:tc>
        <w:tc>
          <w:tcPr>
            <w:tcW w:type="dxa" w:w="1440"/>
            <w:shd w:fill="17365D"/>
            <w:vAlign w:val="center"/>
            <w:tcMar>
              <w:top w:w="70" w:type="dxa"/>
              <w:start w:w="90" w:type="dxa"/>
              <w:bottom w:w="70" w:type="dxa"/>
              <w:end w:w="90" w:type="dxa"/>
            </w:tcMar>
          </w:tcPr>
          <w:p>
            <w:pPr>
              <w:spacing w:after="0" w:line="240" w:lineRule="auto"/>
            </w:pPr>
            <w:r>
              <w:rPr>
                <w:rFonts w:ascii="Arial" w:hAnsi="Arial"/>
                <w:b/>
                <w:color w:val="FFFFFF"/>
                <w:sz w:val="16"/>
              </w:rPr>
              <w:t>Lots</w:t>
            </w:r>
          </w:p>
        </w:tc>
        <w:tc>
          <w:tcPr>
            <w:tcW w:type="dxa" w:w="1872"/>
            <w:shd w:fill="17365D"/>
            <w:vAlign w:val="center"/>
            <w:tcMar>
              <w:top w:w="70" w:type="dxa"/>
              <w:start w:w="90" w:type="dxa"/>
              <w:bottom w:w="70" w:type="dxa"/>
              <w:end w:w="90" w:type="dxa"/>
            </w:tcMar>
          </w:tcPr>
          <w:p>
            <w:pPr>
              <w:spacing w:after="0" w:line="240" w:lineRule="auto"/>
            </w:pPr>
            <w:r>
              <w:rPr>
                <w:rFonts w:ascii="Arial" w:hAnsi="Arial"/>
                <w:b/>
                <w:color w:val="FFFFFF"/>
                <w:sz w:val="16"/>
              </w:rPr>
              <w:t>Reported timepoints</w:t>
            </w:r>
          </w:p>
        </w:tc>
        <w:tc>
          <w:tcPr>
            <w:tcW w:type="dxa" w:w="1224"/>
            <w:shd w:fill="17365D"/>
            <w:vAlign w:val="center"/>
            <w:tcMar>
              <w:top w:w="70" w:type="dxa"/>
              <w:start w:w="90" w:type="dxa"/>
              <w:bottom w:w="70" w:type="dxa"/>
              <w:end w:w="90" w:type="dxa"/>
            </w:tcMar>
          </w:tcPr>
          <w:p>
            <w:pPr>
              <w:spacing w:after="0" w:line="240" w:lineRule="auto"/>
            </w:pPr>
            <w:r>
              <w:rPr>
                <w:rFonts w:ascii="Arial" w:hAnsi="Arial"/>
                <w:b/>
                <w:color w:val="FFFFFF"/>
                <w:sz w:val="16"/>
              </w:rPr>
              <w:t>Records checked</w:t>
            </w:r>
          </w:p>
        </w:tc>
        <w:tc>
          <w:tcPr>
            <w:tcW w:type="dxa" w:w="720"/>
            <w:shd w:fill="17365D"/>
            <w:vAlign w:val="center"/>
            <w:tcMar>
              <w:top w:w="70" w:type="dxa"/>
              <w:start w:w="90" w:type="dxa"/>
              <w:bottom w:w="70" w:type="dxa"/>
              <w:end w:w="90" w:type="dxa"/>
            </w:tcMar>
          </w:tcPr>
          <w:p>
            <w:pPr>
              <w:spacing w:after="0" w:line="240" w:lineRule="auto"/>
            </w:pPr>
            <w:r>
              <w:rPr>
                <w:rFonts w:ascii="Arial" w:hAnsi="Arial"/>
                <w:b/>
                <w:color w:val="FFFFFF"/>
                <w:sz w:val="16"/>
              </w:rPr>
              <w:t>OOS</w:t>
            </w:r>
          </w:p>
        </w:tc>
        <w:tc>
          <w:tcPr>
            <w:tcW w:type="dxa" w:w="2088"/>
            <w:shd w:fill="17365D"/>
            <w:vAlign w:val="center"/>
            <w:tcMar>
              <w:top w:w="70" w:type="dxa"/>
              <w:start w:w="90" w:type="dxa"/>
              <w:bottom w:w="70" w:type="dxa"/>
              <w:end w:w="90" w:type="dxa"/>
            </w:tcMar>
          </w:tcPr>
          <w:p>
            <w:pPr>
              <w:spacing w:after="0" w:line="240" w:lineRule="auto"/>
            </w:pPr>
            <w:r>
              <w:rPr>
                <w:rFonts w:ascii="Arial" w:hAnsi="Arial"/>
                <w:b/>
                <w:color w:val="FFFFFF"/>
                <w:sz w:val="16"/>
              </w:rPr>
              <w:t>Conclusion</w:t>
            </w:r>
          </w:p>
        </w:tc>
      </w:tr>
      <w:tr>
        <w:trPr>
          <w:cantSplit/>
        </w:trPr>
        <w:tc>
          <w:tcPr>
            <w:tcW w:type="dxa" w:w="2448"/>
            <w:vAlign w:val="center"/>
            <w:tcMar>
              <w:top w:w="70" w:type="dxa"/>
              <w:start w:w="90" w:type="dxa"/>
              <w:bottom w:w="70" w:type="dxa"/>
              <w:end w:w="90" w:type="dxa"/>
            </w:tcMar>
          </w:tcPr>
          <w:p>
            <w:pPr>
              <w:spacing w:after="0" w:line="240" w:lineRule="auto"/>
            </w:pPr>
            <w:r>
              <w:rPr>
                <w:rFonts w:ascii="Arial" w:hAnsi="Arial"/>
                <w:sz w:val="16"/>
              </w:rPr>
              <w:t>STB-AVI355-011</w:t>
              <w:br/>
              <w:t>40°C / 75% RH</w:t>
              <w:br/>
              <w:t>Accelerated</w:t>
            </w:r>
          </w:p>
        </w:tc>
        <w:tc>
          <w:tcPr>
            <w:tcW w:type="dxa" w:w="1440"/>
            <w:vAlign w:val="center"/>
            <w:tcMar>
              <w:top w:w="70" w:type="dxa"/>
              <w:start w:w="90" w:type="dxa"/>
              <w:bottom w:w="70" w:type="dxa"/>
              <w:end w:w="90" w:type="dxa"/>
            </w:tcMar>
          </w:tcPr>
          <w:p>
            <w:pPr>
              <w:spacing w:after="0" w:line="240" w:lineRule="auto"/>
            </w:pPr>
            <w:r>
              <w:rPr>
                <w:rFonts w:ascii="Arial" w:hAnsi="Arial"/>
                <w:sz w:val="16"/>
              </w:rPr>
              <w:t>C21, C22, C23</w:t>
            </w:r>
          </w:p>
        </w:tc>
        <w:tc>
          <w:tcPr>
            <w:tcW w:type="dxa" w:w="1872"/>
            <w:vAlign w:val="center"/>
            <w:tcMar>
              <w:top w:w="70" w:type="dxa"/>
              <w:start w:w="90" w:type="dxa"/>
              <w:bottom w:w="70" w:type="dxa"/>
              <w:end w:w="90" w:type="dxa"/>
            </w:tcMar>
          </w:tcPr>
          <w:p>
            <w:pPr>
              <w:spacing w:after="0" w:line="240" w:lineRule="auto"/>
            </w:pPr>
            <w:r>
              <w:rPr>
                <w:rFonts w:ascii="Arial" w:hAnsi="Arial"/>
                <w:sz w:val="16"/>
              </w:rPr>
              <w:t>0, 3, 6 months</w:t>
            </w:r>
          </w:p>
        </w:tc>
        <w:tc>
          <w:tcPr>
            <w:tcW w:type="dxa" w:w="1224"/>
            <w:vAlign w:val="center"/>
            <w:tcMar>
              <w:top w:w="70" w:type="dxa"/>
              <w:start w:w="90" w:type="dxa"/>
              <w:bottom w:w="70" w:type="dxa"/>
              <w:end w:w="90" w:type="dxa"/>
            </w:tcMar>
          </w:tcPr>
          <w:p>
            <w:pPr>
              <w:spacing w:after="0" w:line="240" w:lineRule="auto"/>
            </w:pPr>
            <w:r>
              <w:rPr>
                <w:rFonts w:ascii="Arial" w:hAnsi="Arial"/>
                <w:sz w:val="16"/>
              </w:rPr>
              <w:t>75</w:t>
            </w:r>
          </w:p>
        </w:tc>
        <w:tc>
          <w:tcPr>
            <w:tcW w:type="dxa" w:w="720"/>
            <w:vAlign w:val="center"/>
            <w:tcMar>
              <w:top w:w="70" w:type="dxa"/>
              <w:start w:w="90" w:type="dxa"/>
              <w:bottom w:w="70" w:type="dxa"/>
              <w:end w:w="90" w:type="dxa"/>
            </w:tcMar>
          </w:tcPr>
          <w:p>
            <w:pPr>
              <w:spacing w:after="0" w:line="240" w:lineRule="auto"/>
            </w:pPr>
            <w:r>
              <w:rPr>
                <w:rFonts w:ascii="Arial" w:hAnsi="Arial"/>
                <w:sz w:val="16"/>
              </w:rPr>
              <w:t>1</w:t>
            </w:r>
          </w:p>
        </w:tc>
        <w:tc>
          <w:tcPr>
            <w:tcW w:type="dxa" w:w="2088"/>
            <w:vAlign w:val="center"/>
            <w:tcMar>
              <w:top w:w="70" w:type="dxa"/>
              <w:start w:w="90" w:type="dxa"/>
              <w:bottom w:w="70" w:type="dxa"/>
              <w:end w:w="90" w:type="dxa"/>
            </w:tcMar>
          </w:tcPr>
          <w:p>
            <w:pPr>
              <w:spacing w:after="0" w:line="240" w:lineRule="auto"/>
            </w:pPr>
            <w:r>
              <w:rPr>
                <w:rFonts w:ascii="Arial" w:hAnsi="Arial"/>
                <w:sz w:val="16"/>
              </w:rPr>
              <w:t>Not wholly acceptable</w:t>
            </w:r>
          </w:p>
        </w:tc>
      </w:tr>
      <w:tr>
        <w:trPr>
          <w:cantSplit/>
        </w:trPr>
        <w:tc>
          <w:tcPr>
            <w:tcW w:type="dxa" w:w="2448"/>
            <w:vAlign w:val="center"/>
            <w:tcMar>
              <w:top w:w="70" w:type="dxa"/>
              <w:start w:w="90" w:type="dxa"/>
              <w:bottom w:w="70" w:type="dxa"/>
              <w:end w:w="90" w:type="dxa"/>
            </w:tcMar>
          </w:tcPr>
          <w:p>
            <w:pPr>
              <w:spacing w:after="0" w:line="240" w:lineRule="auto"/>
            </w:pPr>
            <w:r>
              <w:rPr>
                <w:rFonts w:ascii="Arial" w:hAnsi="Arial"/>
                <w:sz w:val="16"/>
              </w:rPr>
              <w:t>STB-AVI355-012</w:t>
              <w:br/>
              <w:t>25°C / 60% RH</w:t>
              <w:br/>
              <w:t>Long-term</w:t>
            </w:r>
          </w:p>
        </w:tc>
        <w:tc>
          <w:tcPr>
            <w:tcW w:type="dxa" w:w="1440"/>
            <w:vAlign w:val="center"/>
            <w:tcMar>
              <w:top w:w="70" w:type="dxa"/>
              <w:start w:w="90" w:type="dxa"/>
              <w:bottom w:w="70" w:type="dxa"/>
              <w:end w:w="90" w:type="dxa"/>
            </w:tcMar>
          </w:tcPr>
          <w:p>
            <w:pPr>
              <w:spacing w:after="0" w:line="240" w:lineRule="auto"/>
            </w:pPr>
            <w:r>
              <w:rPr>
                <w:rFonts w:ascii="Arial" w:hAnsi="Arial"/>
                <w:sz w:val="16"/>
              </w:rPr>
              <w:t>C21, C22, C23</w:t>
            </w:r>
          </w:p>
        </w:tc>
        <w:tc>
          <w:tcPr>
            <w:tcW w:type="dxa" w:w="1872"/>
            <w:vAlign w:val="center"/>
            <w:tcMar>
              <w:top w:w="70" w:type="dxa"/>
              <w:start w:w="90" w:type="dxa"/>
              <w:bottom w:w="70" w:type="dxa"/>
              <w:end w:w="90" w:type="dxa"/>
            </w:tcMar>
          </w:tcPr>
          <w:p>
            <w:pPr>
              <w:spacing w:after="0" w:line="240" w:lineRule="auto"/>
            </w:pPr>
            <w:r>
              <w:rPr>
                <w:rFonts w:ascii="Arial" w:hAnsi="Arial"/>
                <w:sz w:val="16"/>
              </w:rPr>
              <w:t>0, 3, 6, 9, 12, 18 months</w:t>
            </w:r>
          </w:p>
        </w:tc>
        <w:tc>
          <w:tcPr>
            <w:tcW w:type="dxa" w:w="1224"/>
            <w:vAlign w:val="center"/>
            <w:tcMar>
              <w:top w:w="70" w:type="dxa"/>
              <w:start w:w="90" w:type="dxa"/>
              <w:bottom w:w="70" w:type="dxa"/>
              <w:end w:w="90" w:type="dxa"/>
            </w:tcMar>
          </w:tcPr>
          <w:p>
            <w:pPr>
              <w:spacing w:after="0" w:line="240" w:lineRule="auto"/>
            </w:pPr>
            <w:r>
              <w:rPr>
                <w:rFonts w:ascii="Arial" w:hAnsi="Arial"/>
                <w:sz w:val="16"/>
              </w:rPr>
              <w:t>150</w:t>
            </w:r>
          </w:p>
        </w:tc>
        <w:tc>
          <w:tcPr>
            <w:tcW w:type="dxa" w:w="720"/>
            <w:vAlign w:val="center"/>
            <w:tcMar>
              <w:top w:w="70" w:type="dxa"/>
              <w:start w:w="90" w:type="dxa"/>
              <w:bottom w:w="70" w:type="dxa"/>
              <w:end w:w="90" w:type="dxa"/>
            </w:tcMar>
          </w:tcPr>
          <w:p>
            <w:pPr>
              <w:spacing w:after="0" w:line="240" w:lineRule="auto"/>
            </w:pPr>
            <w:r>
              <w:rPr>
                <w:rFonts w:ascii="Arial" w:hAnsi="Arial"/>
                <w:sz w:val="16"/>
              </w:rPr>
              <w:t>0</w:t>
            </w:r>
          </w:p>
        </w:tc>
        <w:tc>
          <w:tcPr>
            <w:tcW w:type="dxa" w:w="2088"/>
            <w:vAlign w:val="center"/>
            <w:tcMar>
              <w:top w:w="70" w:type="dxa"/>
              <w:start w:w="90" w:type="dxa"/>
              <w:bottom w:w="70" w:type="dxa"/>
              <w:end w:w="90" w:type="dxa"/>
            </w:tcMar>
          </w:tcPr>
          <w:p>
            <w:pPr>
              <w:spacing w:after="0" w:line="240" w:lineRule="auto"/>
            </w:pPr>
            <w:r>
              <w:rPr>
                <w:rFonts w:ascii="Arial" w:hAnsi="Arial"/>
                <w:sz w:val="16"/>
              </w:rPr>
              <w:t>All reported values comply</w:t>
            </w:r>
          </w:p>
        </w:tc>
      </w:tr>
      <w:tr>
        <w:trPr>
          <w:cantSplit/>
        </w:trPr>
        <w:tc>
          <w:tcPr>
            <w:tcW w:type="dxa" w:w="2448"/>
            <w:vAlign w:val="center"/>
            <w:tcMar>
              <w:top w:w="70" w:type="dxa"/>
              <w:start w:w="90" w:type="dxa"/>
              <w:bottom w:w="70" w:type="dxa"/>
              <w:end w:w="90" w:type="dxa"/>
            </w:tcMar>
            <w:shd w:fill="D9EAD3"/>
          </w:tcPr>
          <w:p>
            <w:pPr>
              <w:spacing w:after="0" w:line="240" w:lineRule="auto"/>
            </w:pPr>
            <w:r>
              <w:rPr>
                <w:rFonts w:ascii="Arial" w:hAnsi="Arial"/>
                <w:sz w:val="16"/>
              </w:rPr>
              <w:t>Combined reported data</w:t>
            </w:r>
          </w:p>
        </w:tc>
        <w:tc>
          <w:tcPr>
            <w:tcW w:type="dxa" w:w="1440"/>
            <w:vAlign w:val="center"/>
            <w:tcMar>
              <w:top w:w="70" w:type="dxa"/>
              <w:start w:w="90" w:type="dxa"/>
              <w:bottom w:w="70" w:type="dxa"/>
              <w:end w:w="90" w:type="dxa"/>
            </w:tcMar>
            <w:shd w:fill="D9EAD3"/>
          </w:tcPr>
          <w:p>
            <w:pPr>
              <w:spacing w:after="0" w:line="240" w:lineRule="auto"/>
            </w:pPr>
            <w:r>
              <w:rPr>
                <w:rFonts w:ascii="Arial" w:hAnsi="Arial"/>
                <w:sz w:val="16"/>
              </w:rPr>
            </w:r>
          </w:p>
        </w:tc>
        <w:tc>
          <w:tcPr>
            <w:tcW w:type="dxa" w:w="1872"/>
            <w:vAlign w:val="center"/>
            <w:tcMar>
              <w:top w:w="70" w:type="dxa"/>
              <w:start w:w="90" w:type="dxa"/>
              <w:bottom w:w="70" w:type="dxa"/>
              <w:end w:w="90" w:type="dxa"/>
            </w:tcMar>
            <w:shd w:fill="D9EAD3"/>
          </w:tcPr>
          <w:p>
            <w:pPr>
              <w:spacing w:after="0" w:line="240" w:lineRule="auto"/>
            </w:pPr>
            <w:r>
              <w:rPr>
                <w:rFonts w:ascii="Arial" w:hAnsi="Arial"/>
                <w:sz w:val="16"/>
              </w:rPr>
            </w:r>
          </w:p>
        </w:tc>
        <w:tc>
          <w:tcPr>
            <w:tcW w:type="dxa" w:w="1224"/>
            <w:vAlign w:val="center"/>
            <w:tcMar>
              <w:top w:w="70" w:type="dxa"/>
              <w:start w:w="90" w:type="dxa"/>
              <w:bottom w:w="70" w:type="dxa"/>
              <w:end w:w="90" w:type="dxa"/>
            </w:tcMar>
            <w:shd w:fill="D9EAD3"/>
          </w:tcPr>
          <w:p>
            <w:pPr>
              <w:spacing w:after="0" w:line="240" w:lineRule="auto"/>
            </w:pPr>
            <w:r>
              <w:rPr>
                <w:rFonts w:ascii="Arial" w:hAnsi="Arial"/>
                <w:sz w:val="16"/>
              </w:rPr>
              <w:t>225</w:t>
            </w:r>
          </w:p>
        </w:tc>
        <w:tc>
          <w:tcPr>
            <w:tcW w:type="dxa" w:w="720"/>
            <w:vAlign w:val="center"/>
            <w:tcMar>
              <w:top w:w="70" w:type="dxa"/>
              <w:start w:w="90" w:type="dxa"/>
              <w:bottom w:w="70" w:type="dxa"/>
              <w:end w:w="90" w:type="dxa"/>
            </w:tcMar>
            <w:shd w:fill="D9EAD3"/>
          </w:tcPr>
          <w:p>
            <w:pPr>
              <w:spacing w:after="0" w:line="240" w:lineRule="auto"/>
            </w:pPr>
            <w:r>
              <w:rPr>
                <w:rFonts w:ascii="Arial" w:hAnsi="Arial"/>
                <w:b/>
                <w:color w:val="C00000"/>
                <w:sz w:val="16"/>
              </w:rPr>
              <w:t>1</w:t>
            </w:r>
          </w:p>
        </w:tc>
        <w:tc>
          <w:tcPr>
            <w:tcW w:type="dxa" w:w="2088"/>
            <w:vAlign w:val="center"/>
            <w:tcMar>
              <w:top w:w="70" w:type="dxa"/>
              <w:start w:w="90" w:type="dxa"/>
              <w:bottom w:w="70" w:type="dxa"/>
              <w:end w:w="90" w:type="dxa"/>
            </w:tcMar>
            <w:shd w:fill="D9EAD3"/>
          </w:tcPr>
          <w:p>
            <w:pPr>
              <w:spacing w:after="0" w:line="240" w:lineRule="auto"/>
            </w:pPr>
            <w:r>
              <w:rPr>
                <w:rFonts w:ascii="Arial" w:hAnsi="Arial"/>
                <w:sz w:val="16"/>
              </w:rPr>
              <w:t>One OOS result</w:t>
            </w:r>
          </w:p>
        </w:tc>
      </w:tr>
    </w:tbl>
    <w:p>
      <w:pPr>
        <w:pStyle w:val="Smalltext"/>
      </w:pPr>
      <w:r>
        <w:rPr>
          <w:b/>
        </w:rPr>
        <w:t xml:space="preserve">Method: </w:t>
      </w:r>
      <w:r>
        <w:t>Each reportable row in both workbooks was compared with the corresponding version 04 criterion. Textual outcomes (appearance and CCI) were checked for compliance; numeric outcomes were checked against the stated inclusive ranges or NMT limits. The workbook row counts reconcile to the study metadata (75 accelerated; 150 long-term).</w:t>
      </w:r>
    </w:p>
    <w:p>
      <w:pPr>
        <w:pStyle w:val="Heading1"/>
        <w:keepNext/>
      </w:pPr>
      <w:r>
        <w:t>4. Result that does not meet the specification</w:t>
      </w:r>
    </w:p>
    <w:tbl>
      <w:tblPr>
        <w:tblStyle w:val="TableGrid"/>
        <w:tblW w:type="auto" w:w="0"/>
        <w:jc w:val="center"/>
        <w:tblLayout w:type="fixed"/>
        <w:tblLook w:firstColumn="1" w:firstRow="1" w:lastColumn="0" w:lastRow="0" w:noHBand="0" w:noVBand="1" w:val="04A0"/>
      </w:tblPr>
      <w:tblGrid>
        <w:gridCol w:w="5083"/>
        <w:gridCol w:w="5083"/>
      </w:tblGrid>
      <w:tr>
        <w:trPr>
          <w:cantSplit/>
        </w:trPr>
        <w:tc>
          <w:tcPr>
            <w:tcW w:type="dxa" w:w="2592"/>
            <w:shd w:fill="D9E2F3"/>
            <w:vAlign w:val="center"/>
            <w:tcMar>
              <w:top w:w="70" w:type="dxa"/>
              <w:start w:w="90" w:type="dxa"/>
              <w:bottom w:w="70" w:type="dxa"/>
              <w:end w:w="90" w:type="dxa"/>
            </w:tcMar>
          </w:tcPr>
          <w:p>
            <w:pPr>
              <w:spacing w:after="0" w:line="240" w:lineRule="auto"/>
            </w:pPr>
            <w:r>
              <w:rPr>
                <w:rFonts w:ascii="Arial" w:hAnsi="Arial"/>
                <w:b/>
                <w:sz w:val="16"/>
              </w:rPr>
              <w:t>Study</w:t>
            </w:r>
          </w:p>
        </w:tc>
        <w:tc>
          <w:tcPr>
            <w:tcW w:type="dxa" w:w="7704"/>
            <w:vAlign w:val="center"/>
            <w:tcMar>
              <w:top w:w="70" w:type="dxa"/>
              <w:start w:w="90" w:type="dxa"/>
              <w:bottom w:w="70" w:type="dxa"/>
              <w:end w:w="90" w:type="dxa"/>
            </w:tcMar>
          </w:tcPr>
          <w:p>
            <w:pPr>
              <w:spacing w:after="0" w:line="240" w:lineRule="auto"/>
            </w:pPr>
            <w:r>
              <w:rPr>
                <w:rFonts w:ascii="Arial" w:hAnsi="Arial"/>
                <w:sz w:val="16"/>
              </w:rPr>
              <w:t>STB-AVI355-011 — accelerated stability, 40°C / 75% RH</w:t>
            </w:r>
          </w:p>
        </w:tc>
      </w:tr>
      <w:tr>
        <w:trPr>
          <w:cantSplit/>
        </w:trPr>
        <w:tc>
          <w:tcPr>
            <w:tcW w:type="dxa" w:w="2592"/>
            <w:shd w:fill="D9E2F3"/>
            <w:vAlign w:val="center"/>
            <w:tcMar>
              <w:top w:w="70" w:type="dxa"/>
              <w:start w:w="90" w:type="dxa"/>
              <w:bottom w:w="70" w:type="dxa"/>
              <w:end w:w="90" w:type="dxa"/>
            </w:tcMar>
          </w:tcPr>
          <w:p>
            <w:pPr>
              <w:spacing w:after="0" w:line="240" w:lineRule="auto"/>
            </w:pPr>
            <w:r>
              <w:rPr>
                <w:rFonts w:ascii="Arial" w:hAnsi="Arial"/>
                <w:b/>
                <w:sz w:val="16"/>
              </w:rPr>
              <w:t>Result ID</w:t>
            </w:r>
          </w:p>
        </w:tc>
        <w:tc>
          <w:tcPr>
            <w:tcW w:type="dxa" w:w="7704"/>
            <w:vAlign w:val="center"/>
            <w:tcMar>
              <w:top w:w="70" w:type="dxa"/>
              <w:start w:w="90" w:type="dxa"/>
              <w:bottom w:w="70" w:type="dxa"/>
              <w:end w:w="90" w:type="dxa"/>
            </w:tcMar>
          </w:tcPr>
          <w:p>
            <w:pPr>
              <w:spacing w:after="0" w:line="240" w:lineRule="auto"/>
            </w:pPr>
            <w:r>
              <w:rPr>
                <w:rFonts w:ascii="Arial" w:hAnsi="Arial"/>
                <w:sz w:val="16"/>
              </w:rPr>
              <w:t>STB-AVI355-011-C22-T06-IMPK1</w:t>
            </w:r>
          </w:p>
        </w:tc>
      </w:tr>
      <w:tr>
        <w:trPr>
          <w:cantSplit/>
        </w:trPr>
        <w:tc>
          <w:tcPr>
            <w:tcW w:type="dxa" w:w="2592"/>
            <w:shd w:fill="D9E2F3"/>
            <w:vAlign w:val="center"/>
            <w:tcMar>
              <w:top w:w="70" w:type="dxa"/>
              <w:start w:w="90" w:type="dxa"/>
              <w:bottom w:w="70" w:type="dxa"/>
              <w:end w:w="90" w:type="dxa"/>
            </w:tcMar>
          </w:tcPr>
          <w:p>
            <w:pPr>
              <w:spacing w:after="0" w:line="240" w:lineRule="auto"/>
            </w:pPr>
            <w:r>
              <w:rPr>
                <w:rFonts w:ascii="Arial" w:hAnsi="Arial"/>
                <w:b/>
                <w:sz w:val="16"/>
              </w:rPr>
              <w:t>Lot / timepoint</w:t>
            </w:r>
          </w:p>
        </w:tc>
        <w:tc>
          <w:tcPr>
            <w:tcW w:type="dxa" w:w="7704"/>
            <w:vAlign w:val="center"/>
            <w:tcMar>
              <w:top w:w="70" w:type="dxa"/>
              <w:start w:w="90" w:type="dxa"/>
              <w:bottom w:w="70" w:type="dxa"/>
              <w:end w:w="90" w:type="dxa"/>
            </w:tcMar>
          </w:tcPr>
          <w:p>
            <w:pPr>
              <w:spacing w:after="0" w:line="240" w:lineRule="auto"/>
            </w:pPr>
            <w:r>
              <w:rPr>
                <w:rFonts w:ascii="Arial" w:hAnsi="Arial"/>
                <w:sz w:val="16"/>
              </w:rPr>
              <w:t>AVI355-C22 / 6 months</w:t>
            </w:r>
          </w:p>
        </w:tc>
      </w:tr>
      <w:tr>
        <w:trPr>
          <w:cantSplit/>
        </w:trPr>
        <w:tc>
          <w:tcPr>
            <w:tcW w:type="dxa" w:w="2592"/>
            <w:shd w:fill="D9E2F3"/>
            <w:vAlign w:val="center"/>
            <w:tcMar>
              <w:top w:w="70" w:type="dxa"/>
              <w:start w:w="90" w:type="dxa"/>
              <w:bottom w:w="70" w:type="dxa"/>
              <w:end w:w="90" w:type="dxa"/>
            </w:tcMar>
          </w:tcPr>
          <w:p>
            <w:pPr>
              <w:spacing w:after="0" w:line="240" w:lineRule="auto"/>
            </w:pPr>
            <w:r>
              <w:rPr>
                <w:rFonts w:ascii="Arial" w:hAnsi="Arial"/>
                <w:b/>
                <w:sz w:val="16"/>
              </w:rPr>
              <w:t>Test / method</w:t>
            </w:r>
          </w:p>
        </w:tc>
        <w:tc>
          <w:tcPr>
            <w:tcW w:type="dxa" w:w="7704"/>
            <w:vAlign w:val="center"/>
            <w:tcMar>
              <w:top w:w="70" w:type="dxa"/>
              <w:start w:w="90" w:type="dxa"/>
              <w:bottom w:w="70" w:type="dxa"/>
              <w:end w:w="90" w:type="dxa"/>
            </w:tcMar>
          </w:tcPr>
          <w:p>
            <w:pPr>
              <w:spacing w:after="0" w:line="240" w:lineRule="auto"/>
            </w:pPr>
            <w:r>
              <w:rPr>
                <w:rFonts w:ascii="Arial" w:hAnsi="Arial"/>
                <w:sz w:val="16"/>
              </w:rPr>
              <w:t>Impurity K1 (kelvoran N-oxide) / MTH-HPLC-022</w:t>
            </w:r>
          </w:p>
        </w:tc>
      </w:tr>
      <w:tr>
        <w:trPr>
          <w:cantSplit/>
        </w:trPr>
        <w:tc>
          <w:tcPr>
            <w:tcW w:type="dxa" w:w="2592"/>
            <w:shd w:fill="D9E2F3"/>
            <w:vAlign w:val="center"/>
            <w:tcMar>
              <w:top w:w="70" w:type="dxa"/>
              <w:start w:w="90" w:type="dxa"/>
              <w:bottom w:w="70" w:type="dxa"/>
              <w:end w:w="90" w:type="dxa"/>
            </w:tcMar>
          </w:tcPr>
          <w:p>
            <w:pPr>
              <w:spacing w:after="0" w:line="240" w:lineRule="auto"/>
            </w:pPr>
            <w:r>
              <w:rPr>
                <w:rFonts w:ascii="Arial" w:hAnsi="Arial"/>
                <w:b/>
                <w:sz w:val="16"/>
              </w:rPr>
              <w:t>Reportable result</w:t>
            </w:r>
          </w:p>
        </w:tc>
        <w:tc>
          <w:tcPr>
            <w:tcW w:type="dxa" w:w="7704"/>
            <w:vAlign w:val="center"/>
            <w:tcMar>
              <w:top w:w="70" w:type="dxa"/>
              <w:start w:w="90" w:type="dxa"/>
              <w:bottom w:w="70" w:type="dxa"/>
              <w:end w:w="90" w:type="dxa"/>
            </w:tcMar>
          </w:tcPr>
          <w:p>
            <w:pPr>
              <w:spacing w:after="0" w:line="240" w:lineRule="auto"/>
            </w:pPr>
            <w:r>
              <w:rPr>
                <w:rFonts w:ascii="Arial" w:hAnsi="Arial"/>
                <w:sz w:val="16"/>
              </w:rPr>
              <w:t>0.24% area</w:t>
            </w:r>
          </w:p>
        </w:tc>
      </w:tr>
      <w:tr>
        <w:trPr>
          <w:cantSplit/>
        </w:trPr>
        <w:tc>
          <w:tcPr>
            <w:tcW w:type="dxa" w:w="2592"/>
            <w:shd w:fill="D9E2F3"/>
            <w:vAlign w:val="center"/>
            <w:tcMar>
              <w:top w:w="70" w:type="dxa"/>
              <w:start w:w="90" w:type="dxa"/>
              <w:bottom w:w="70" w:type="dxa"/>
              <w:end w:w="90" w:type="dxa"/>
            </w:tcMar>
          </w:tcPr>
          <w:p>
            <w:pPr>
              <w:spacing w:after="0" w:line="240" w:lineRule="auto"/>
            </w:pPr>
            <w:r>
              <w:rPr>
                <w:rFonts w:ascii="Arial" w:hAnsi="Arial"/>
                <w:b/>
                <w:sz w:val="16"/>
              </w:rPr>
              <w:t>Date reported</w:t>
            </w:r>
          </w:p>
        </w:tc>
        <w:tc>
          <w:tcPr>
            <w:tcW w:type="dxa" w:w="7704"/>
            <w:vAlign w:val="center"/>
            <w:tcMar>
              <w:top w:w="70" w:type="dxa"/>
              <w:start w:w="90" w:type="dxa"/>
              <w:bottom w:w="70" w:type="dxa"/>
              <w:end w:w="90" w:type="dxa"/>
            </w:tcMar>
          </w:tcPr>
          <w:p>
            <w:pPr>
              <w:spacing w:after="0" w:line="240" w:lineRule="auto"/>
            </w:pPr>
            <w:r>
              <w:rPr>
                <w:rFonts w:ascii="Arial" w:hAnsi="Arial"/>
                <w:sz w:val="16"/>
              </w:rPr>
              <w:t>11 September 2025</w:t>
            </w:r>
          </w:p>
        </w:tc>
      </w:tr>
      <w:tr>
        <w:trPr>
          <w:cantSplit/>
        </w:trPr>
        <w:tc>
          <w:tcPr>
            <w:tcW w:type="dxa" w:w="2592"/>
            <w:shd w:fill="D9E2F3"/>
            <w:vAlign w:val="center"/>
            <w:tcMar>
              <w:top w:w="70" w:type="dxa"/>
              <w:start w:w="90" w:type="dxa"/>
              <w:bottom w:w="70" w:type="dxa"/>
              <w:end w:w="90" w:type="dxa"/>
            </w:tcMar>
          </w:tcPr>
          <w:p>
            <w:pPr>
              <w:spacing w:after="0" w:line="240" w:lineRule="auto"/>
            </w:pPr>
            <w:r>
              <w:rPr>
                <w:rFonts w:ascii="Arial" w:hAnsi="Arial"/>
                <w:b/>
                <w:sz w:val="16"/>
              </w:rPr>
              <w:t>Effective acceptance criterion</w:t>
            </w:r>
          </w:p>
        </w:tc>
        <w:tc>
          <w:tcPr>
            <w:tcW w:type="dxa" w:w="7704"/>
            <w:vAlign w:val="center"/>
            <w:tcMar>
              <w:top w:w="70" w:type="dxa"/>
              <w:start w:w="90" w:type="dxa"/>
              <w:bottom w:w="70" w:type="dxa"/>
              <w:end w:w="90" w:type="dxa"/>
            </w:tcMar>
          </w:tcPr>
          <w:p>
            <w:pPr>
              <w:spacing w:after="0" w:line="240" w:lineRule="auto"/>
            </w:pPr>
            <w:r>
              <w:rPr>
                <w:rFonts w:ascii="Arial" w:hAnsi="Arial"/>
                <w:sz w:val="16"/>
              </w:rPr>
              <w:t>NMT 0.20% area (AVT-SPEC-022 version 04)</w:t>
            </w:r>
          </w:p>
        </w:tc>
      </w:tr>
      <w:tr>
        <w:trPr>
          <w:cantSplit/>
        </w:trPr>
        <w:tc>
          <w:tcPr>
            <w:tcW w:type="dxa" w:w="2592"/>
            <w:shd w:fill="D9E2F3"/>
            <w:vAlign w:val="center"/>
            <w:tcMar>
              <w:top w:w="70" w:type="dxa"/>
              <w:start w:w="90" w:type="dxa"/>
              <w:bottom w:w="70" w:type="dxa"/>
              <w:end w:w="90" w:type="dxa"/>
            </w:tcMar>
          </w:tcPr>
          <w:p>
            <w:pPr>
              <w:spacing w:after="0" w:line="240" w:lineRule="auto"/>
            </w:pPr>
            <w:r>
              <w:rPr>
                <w:rFonts w:ascii="Arial" w:hAnsi="Arial"/>
                <w:b/>
                <w:sz w:val="16"/>
              </w:rPr>
              <w:t>Calculation</w:t>
            </w:r>
          </w:p>
        </w:tc>
        <w:tc>
          <w:tcPr>
            <w:tcW w:type="dxa" w:w="7704"/>
            <w:vAlign w:val="center"/>
            <w:tcMar>
              <w:top w:w="70" w:type="dxa"/>
              <w:start w:w="90" w:type="dxa"/>
              <w:bottom w:w="70" w:type="dxa"/>
              <w:end w:w="90" w:type="dxa"/>
            </w:tcMar>
          </w:tcPr>
          <w:p>
            <w:pPr>
              <w:spacing w:after="0" w:line="240" w:lineRule="auto"/>
            </w:pPr>
            <w:r>
              <w:rPr>
                <w:rFonts w:ascii="Arial" w:hAnsi="Arial"/>
                <w:sz w:val="16"/>
              </w:rPr>
              <w:t>0.24 − 0.20 = 0.04 percentage point above the limit (20% above the numerical limit)</w:t>
            </w:r>
          </w:p>
        </w:tc>
      </w:tr>
      <w:tr>
        <w:trPr>
          <w:cantSplit/>
        </w:trPr>
        <w:tc>
          <w:tcPr>
            <w:tcW w:type="dxa" w:w="2592"/>
            <w:shd w:fill="D9E2F3"/>
            <w:vAlign w:val="center"/>
            <w:tcMar>
              <w:top w:w="70" w:type="dxa"/>
              <w:start w:w="90" w:type="dxa"/>
              <w:bottom w:w="70" w:type="dxa"/>
              <w:end w:w="90" w:type="dxa"/>
            </w:tcMar>
          </w:tcPr>
          <w:p>
            <w:pPr>
              <w:spacing w:after="0" w:line="240" w:lineRule="auto"/>
            </w:pPr>
            <w:r>
              <w:rPr>
                <w:rFonts w:ascii="Arial" w:hAnsi="Arial"/>
                <w:b/>
                <w:sz w:val="16"/>
              </w:rPr>
              <w:t>Disposition in source row</w:t>
            </w:r>
          </w:p>
        </w:tc>
        <w:tc>
          <w:tcPr>
            <w:tcW w:type="dxa" w:w="7704"/>
            <w:vAlign w:val="center"/>
            <w:tcMar>
              <w:top w:w="70" w:type="dxa"/>
              <w:start w:w="90" w:type="dxa"/>
              <w:bottom w:w="70" w:type="dxa"/>
              <w:end w:w="90" w:type="dxa"/>
            </w:tcMar>
          </w:tcPr>
          <w:p>
            <w:pPr>
              <w:spacing w:after="0" w:line="240" w:lineRule="auto"/>
            </w:pPr>
            <w:r>
              <w:rPr>
                <w:rFonts w:ascii="Arial" w:hAnsi="Arial"/>
                <w:sz w:val="16"/>
              </w:rPr>
              <w:t>“out of specification”; no laboratory-event reference is recorded in the row</w:t>
            </w:r>
          </w:p>
        </w:tc>
      </w:tr>
    </w:tbl>
    <w:p>
      <w:r>
        <w:rPr>
          <w:b/>
        </w:rPr>
        <w:t xml:space="preserve">Why it fails. </w:t>
      </w:r>
      <w:r>
        <w:t>“Not more than 0.20%” is an upper, inclusive limit. The reported 0.24% is greater than 0.20%; it is therefore OOS. The specification requires comparison at the precision stated in the analytical method without further rounding. The displayed result already exceeds the displayed limit by 0.04 percentage point, so neither rounding nor the passing total-impurities result (0.30% against NMT 0.50%) can make K1 acceptable.</w:t>
      </w:r>
    </w:p>
    <w:p>
      <w:pPr>
        <w:pStyle w:val="Heading1"/>
        <w:keepNext/>
      </w:pPr>
      <w:r>
        <w:t>5. Reconciliation of apparently conflicting records</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3024"/>
            <w:shd w:fill="17365D"/>
            <w:vAlign w:val="center"/>
            <w:tcMar>
              <w:top w:w="70" w:type="dxa"/>
              <w:start w:w="90" w:type="dxa"/>
              <w:bottom w:w="70" w:type="dxa"/>
              <w:end w:w="90" w:type="dxa"/>
            </w:tcMar>
          </w:tcPr>
          <w:p>
            <w:pPr>
              <w:spacing w:after="0" w:line="240" w:lineRule="auto"/>
            </w:pPr>
            <w:r>
              <w:rPr>
                <w:rFonts w:ascii="Arial" w:hAnsi="Arial"/>
                <w:b/>
                <w:color w:val="FFFFFF"/>
                <w:sz w:val="16"/>
              </w:rPr>
              <w:t>Record</w:t>
            </w:r>
          </w:p>
        </w:tc>
        <w:tc>
          <w:tcPr>
            <w:tcW w:type="dxa" w:w="7272"/>
            <w:shd w:fill="17365D"/>
            <w:vAlign w:val="center"/>
            <w:tcMar>
              <w:top w:w="70" w:type="dxa"/>
              <w:start w:w="90" w:type="dxa"/>
              <w:bottom w:w="70" w:type="dxa"/>
              <w:end w:w="90" w:type="dxa"/>
            </w:tcMar>
          </w:tcPr>
          <w:p>
            <w:pPr>
              <w:spacing w:after="0" w:line="240" w:lineRule="auto"/>
            </w:pPr>
            <w:r>
              <w:rPr>
                <w:rFonts w:ascii="Arial" w:hAnsi="Arial"/>
                <w:b/>
                <w:color w:val="FFFFFF"/>
                <w:sz w:val="16"/>
              </w:rPr>
              <w:t>Inspector-facing reconciliation</w:t>
            </w:r>
          </w:p>
        </w:tc>
      </w:tr>
      <w:tr>
        <w:trPr>
          <w:cantSplit/>
        </w:trPr>
        <w:tc>
          <w:tcPr>
            <w:tcW w:type="dxa" w:w="3024"/>
            <w:vAlign w:val="center"/>
            <w:tcMar>
              <w:top w:w="70" w:type="dxa"/>
              <w:start w:w="90" w:type="dxa"/>
              <w:bottom w:w="70" w:type="dxa"/>
              <w:end w:w="90" w:type="dxa"/>
            </w:tcMar>
          </w:tcPr>
          <w:p>
            <w:pPr>
              <w:spacing w:after="0" w:line="240" w:lineRule="auto"/>
            </w:pPr>
            <w:r>
              <w:rPr>
                <w:rFonts w:ascii="Arial" w:hAnsi="Arial"/>
                <w:sz w:val="16"/>
              </w:rPr>
              <w:t>AVT-STB-342 (APPROVED)</w:t>
            </w:r>
          </w:p>
        </w:tc>
        <w:tc>
          <w:tcPr>
            <w:tcW w:type="dxa" w:w="7272"/>
            <w:vAlign w:val="center"/>
            <w:tcMar>
              <w:top w:w="70" w:type="dxa"/>
              <w:start w:w="90" w:type="dxa"/>
              <w:bottom w:w="70" w:type="dxa"/>
              <w:end w:w="90" w:type="dxa"/>
            </w:tcMar>
          </w:tcPr>
          <w:p>
            <w:pPr>
              <w:spacing w:after="0" w:line="240" w:lineRule="auto"/>
            </w:pPr>
            <w:r>
              <w:rPr>
                <w:rFonts w:ascii="Arial" w:hAnsi="Arial"/>
                <w:sz w:val="16"/>
              </w:rPr>
              <w:t>Correctly concludes that all long-term results through 18 months meet version 04. It expressly says the accelerated study is reported separately; it does not establish acceptability of that separate study.</w:t>
            </w:r>
          </w:p>
        </w:tc>
      </w:tr>
      <w:tr>
        <w:trPr>
          <w:cantSplit/>
        </w:trPr>
        <w:tc>
          <w:tcPr>
            <w:tcW w:type="dxa" w:w="3024"/>
            <w:vAlign w:val="center"/>
            <w:tcMar>
              <w:top w:w="70" w:type="dxa"/>
              <w:start w:w="90" w:type="dxa"/>
              <w:bottom w:w="70" w:type="dxa"/>
              <w:end w:w="90" w:type="dxa"/>
            </w:tcMar>
          </w:tcPr>
          <w:p>
            <w:pPr>
              <w:spacing w:after="0" w:line="240" w:lineRule="auto"/>
            </w:pPr>
            <w:r>
              <w:rPr>
                <w:rFonts w:ascii="Arial" w:hAnsi="Arial"/>
                <w:sz w:val="16"/>
              </w:rPr>
              <w:t>AVT-STB-341 (SUPERSEDED)</w:t>
            </w:r>
          </w:p>
        </w:tc>
        <w:tc>
          <w:tcPr>
            <w:tcW w:type="dxa" w:w="7272"/>
            <w:vAlign w:val="center"/>
            <w:tcMar>
              <w:top w:w="70" w:type="dxa"/>
              <w:start w:w="90" w:type="dxa"/>
              <w:bottom w:w="70" w:type="dxa"/>
              <w:end w:w="90" w:type="dxa"/>
            </w:tcMar>
          </w:tcPr>
          <w:p>
            <w:pPr>
              <w:spacing w:after="0" w:line="240" w:lineRule="auto"/>
            </w:pPr>
            <w:r>
              <w:rPr>
                <w:rFonts w:ascii="Arial" w:hAnsi="Arial"/>
                <w:sz w:val="16"/>
              </w:rPr>
              <w:t>Its 12-month long-term conclusion is historical only and has been superseded by AVT-STB-342.</w:t>
            </w:r>
          </w:p>
        </w:tc>
      </w:tr>
      <w:tr>
        <w:trPr>
          <w:cantSplit/>
        </w:trPr>
        <w:tc>
          <w:tcPr>
            <w:tcW w:type="dxa" w:w="3024"/>
            <w:vAlign w:val="center"/>
            <w:tcMar>
              <w:top w:w="70" w:type="dxa"/>
              <w:start w:w="90" w:type="dxa"/>
              <w:bottom w:w="70" w:type="dxa"/>
              <w:end w:w="90" w:type="dxa"/>
            </w:tcMar>
          </w:tcPr>
          <w:p>
            <w:pPr>
              <w:spacing w:after="0" w:line="240" w:lineRule="auto"/>
            </w:pPr>
            <w:r>
              <w:rPr>
                <w:rFonts w:ascii="Arial" w:hAnsi="Arial"/>
                <w:sz w:val="16"/>
              </w:rPr>
              <w:t>AVT-APQR-355-2025 (APPROVED)</w:t>
            </w:r>
          </w:p>
        </w:tc>
        <w:tc>
          <w:tcPr>
            <w:tcW w:type="dxa" w:w="7272"/>
            <w:vAlign w:val="center"/>
            <w:tcMar>
              <w:top w:w="70" w:type="dxa"/>
              <w:start w:w="90" w:type="dxa"/>
              <w:bottom w:w="70" w:type="dxa"/>
              <w:end w:w="90" w:type="dxa"/>
            </w:tcMar>
          </w:tcPr>
          <w:p>
            <w:pPr>
              <w:spacing w:after="0" w:line="240" w:lineRule="auto"/>
            </w:pPr>
            <w:r>
              <w:rPr>
                <w:rFonts w:ascii="Arial" w:hAnsi="Arial"/>
                <w:sz w:val="16"/>
              </w:rPr>
              <w:t>States that all reported accelerated and long-term results met specification and that no OOS arose. This is contradicted by the accelerated source row for C22/6-month K1 (0.24%, flagged OOS).</w:t>
            </w:r>
          </w:p>
        </w:tc>
      </w:tr>
      <w:tr>
        <w:trPr>
          <w:cantSplit/>
        </w:trPr>
        <w:tc>
          <w:tcPr>
            <w:tcW w:type="dxa" w:w="3024"/>
            <w:vAlign w:val="center"/>
            <w:tcMar>
              <w:top w:w="70" w:type="dxa"/>
              <w:start w:w="90" w:type="dxa"/>
              <w:bottom w:w="70" w:type="dxa"/>
              <w:end w:w="90" w:type="dxa"/>
            </w:tcMar>
          </w:tcPr>
          <w:p>
            <w:pPr>
              <w:spacing w:after="0" w:line="240" w:lineRule="auto"/>
            </w:pPr>
            <w:r>
              <w:rPr>
                <w:rFonts w:ascii="Arial" w:hAnsi="Arial"/>
                <w:sz w:val="16"/>
              </w:rPr>
              <w:t>LAB-INV-2026-014 (CLOSED)</w:t>
            </w:r>
          </w:p>
        </w:tc>
        <w:tc>
          <w:tcPr>
            <w:tcW w:type="dxa" w:w="7272"/>
            <w:vAlign w:val="center"/>
            <w:tcMar>
              <w:top w:w="70" w:type="dxa"/>
              <w:start w:w="90" w:type="dxa"/>
              <w:bottom w:w="70" w:type="dxa"/>
              <w:end w:w="90" w:type="dxa"/>
            </w:tcMar>
          </w:tcPr>
          <w:p>
            <w:pPr>
              <w:spacing w:after="0" w:line="240" w:lineRule="auto"/>
            </w:pPr>
            <w:r>
              <w:rPr>
                <w:rFonts w:ascii="Arial" w:hAnsi="Arial"/>
                <w:sz w:val="16"/>
              </w:rPr>
              <w:t>Concerns a different result: C21, 3-month accelerated assay event LAB-2025-207. It invalidated an assay run for guard-column failure and accepted the confirmatory assay value. It does not address, invalidate, retest, or disposition the C22/6-month K1 result.</w:t>
            </w:r>
          </w:p>
        </w:tc>
      </w:tr>
      <w:tr>
        <w:trPr>
          <w:cantSplit/>
        </w:trPr>
        <w:tc>
          <w:tcPr>
            <w:tcW w:type="dxa" w:w="3024"/>
            <w:vAlign w:val="center"/>
            <w:tcMar>
              <w:top w:w="70" w:type="dxa"/>
              <w:start w:w="90" w:type="dxa"/>
              <w:bottom w:w="70" w:type="dxa"/>
              <w:end w:w="90" w:type="dxa"/>
            </w:tcMar>
          </w:tcPr>
          <w:p>
            <w:pPr>
              <w:spacing w:after="0" w:line="240" w:lineRule="auto"/>
            </w:pPr>
            <w:r>
              <w:rPr>
                <w:rFonts w:ascii="Arial" w:hAnsi="Arial"/>
                <w:sz w:val="16"/>
              </w:rPr>
              <w:t>2026 APQR stability working draft (DRAFT)</w:t>
            </w:r>
          </w:p>
        </w:tc>
        <w:tc>
          <w:tcPr>
            <w:tcW w:type="dxa" w:w="7272"/>
            <w:vAlign w:val="center"/>
            <w:tcMar>
              <w:top w:w="70" w:type="dxa"/>
              <w:start w:w="90" w:type="dxa"/>
              <w:bottom w:w="70" w:type="dxa"/>
              <w:end w:w="90" w:type="dxa"/>
            </w:tcMar>
          </w:tcPr>
          <w:p>
            <w:pPr>
              <w:spacing w:after="0" w:line="240" w:lineRule="auto"/>
            </w:pPr>
            <w:r>
              <w:rPr>
                <w:rFonts w:ascii="Arial" w:hAnsi="Arial"/>
                <w:sz w:val="16"/>
              </w:rPr>
              <w:t>Its statement that no confirmed OOS remains should not be approved as written; it repeats the unsupported combined-study conclusion.</w:t>
            </w:r>
          </w:p>
        </w:tc>
      </w:tr>
    </w:tbl>
    <w:p>
      <w:pPr>
        <w:pStyle w:val="Heading1"/>
        <w:keepNext/>
      </w:pPr>
      <w:r>
        <w:t>6. Inspector-ready conclusion and required follow-up</w:t>
      </w:r>
    </w:p>
    <w:p>
      <w:r>
        <w:rPr>
          <w:b/>
        </w:rPr>
        <w:t xml:space="preserve">Conclusion: </w:t>
      </w:r>
      <w:r>
        <w:t>All reported long-term commitment-lot results through 18 months are within AVT-SPEC-022 version 04. However, the complete reported commitment-lot stability data are not all acceptable: the reportable Impurity K1 result of 0.24% area for AVI355-C22 at 6 months under accelerated conditions exceeds the effective NMT 0.20% criterion and is OOS. The superseded NMT 0.30% limit cannot be used, and the unrelated assay investigation does not remove this K1 result.</w:t>
      </w:r>
    </w:p>
    <w:p>
      <w:r>
        <w:rPr>
          <w:b/>
        </w:rPr>
        <w:t>Control implications identified by this check:</w:t>
      </w:r>
    </w:p>
    <w:p>
      <w:pPr>
        <w:pStyle w:val="ListBullet"/>
        <w:spacing w:after="60"/>
      </w:pPr>
      <w:r>
        <w:t>Open and document the required OOS assessment/investigation for STB-AVI355-011-C22-T06-IMPK1, or provide the controlled investigation record if one exists outside the reviewed set. The source row currently contains no laboratory-event reference.</w:t>
      </w:r>
    </w:p>
    <w:p>
      <w:pPr>
        <w:pStyle w:val="ListBullet"/>
        <w:spacing w:after="60"/>
      </w:pPr>
      <w:r>
        <w:t>Correct or formally amend the 2025 approved APQR statement that no OOS arose, with a documented impact assessment covering the accelerated study conclusion, product-quality implications and any regulatory/shelf-life considerations.</w:t>
      </w:r>
    </w:p>
    <w:p>
      <w:pPr>
        <w:pStyle w:val="ListBullet"/>
        <w:spacing w:after="60"/>
      </w:pPr>
      <w:r>
        <w:t>Prevent approval of the 2026 APQR working-draft conclusion until it distinguishes the validly invalidated C21 assay event from the unresolved C22 K1 OOS.</w:t>
      </w:r>
    </w:p>
    <w:p>
      <w:pPr>
        <w:pStyle w:val="ListBullet"/>
        <w:spacing w:after="60"/>
      </w:pPr>
      <w:r>
        <w:t>Maintain the long-term conclusion separately: the data through 18 months remain compliant, but continued monitoring does not retrospectively make the accelerated OOS acceptable.</w:t>
      </w:r>
    </w:p>
    <w:p>
      <w:pPr>
        <w:pStyle w:val="Heading1"/>
        <w:keepNext/>
      </w:pPr>
      <w:r>
        <w:t>7. Records relied upon</w:t>
      </w:r>
    </w:p>
    <w:tbl>
      <w:tblPr>
        <w:tblStyle w:val="TableGrid"/>
        <w:tblW w:type="auto" w:w="0"/>
        <w:jc w:val="center"/>
        <w:tblLayout w:type="fixed"/>
        <w:tblLook w:firstColumn="1" w:firstRow="1" w:lastColumn="0" w:lastRow="0" w:noHBand="0" w:noVBand="1" w:val="04A0"/>
      </w:tblPr>
      <w:tblGrid>
        <w:gridCol w:w="5083"/>
        <w:gridCol w:w="5083"/>
      </w:tblGrid>
      <w:tr>
        <w:trPr>
          <w:tblHeader w:val="true"/>
          <w:cantSplit/>
        </w:trPr>
        <w:tc>
          <w:tcPr>
            <w:tcW w:type="dxa" w:w="2088"/>
            <w:shd w:fill="17365D"/>
            <w:vAlign w:val="center"/>
            <w:tcMar>
              <w:top w:w="70" w:type="dxa"/>
              <w:start w:w="90" w:type="dxa"/>
              <w:bottom w:w="70" w:type="dxa"/>
              <w:end w:w="90" w:type="dxa"/>
            </w:tcMar>
          </w:tcPr>
          <w:p>
            <w:pPr>
              <w:spacing w:after="0" w:line="240" w:lineRule="auto"/>
            </w:pPr>
            <w:r>
              <w:rPr>
                <w:rFonts w:ascii="Arial" w:hAnsi="Arial"/>
                <w:b/>
                <w:color w:val="FFFFFF"/>
                <w:sz w:val="16"/>
              </w:rPr>
              <w:t>Record type</w:t>
            </w:r>
          </w:p>
        </w:tc>
        <w:tc>
          <w:tcPr>
            <w:tcW w:type="dxa" w:w="8208"/>
            <w:shd w:fill="17365D"/>
            <w:vAlign w:val="center"/>
            <w:tcMar>
              <w:top w:w="70" w:type="dxa"/>
              <w:start w:w="90" w:type="dxa"/>
              <w:bottom w:w="70" w:type="dxa"/>
              <w:end w:w="90" w:type="dxa"/>
            </w:tcMar>
          </w:tcPr>
          <w:p>
            <w:pPr>
              <w:spacing w:after="0" w:line="240" w:lineRule="auto"/>
            </w:pPr>
            <w:r>
              <w:rPr>
                <w:rFonts w:ascii="Arial" w:hAnsi="Arial"/>
                <w:b/>
                <w:color w:val="FFFFFF"/>
                <w:sz w:val="16"/>
              </w:rPr>
              <w:t>File and status</w:t>
            </w:r>
          </w:p>
        </w:tc>
      </w:tr>
      <w:tr>
        <w:trPr>
          <w:cantSplit/>
        </w:trPr>
        <w:tc>
          <w:tcPr>
            <w:tcW w:type="dxa" w:w="2088"/>
            <w:vAlign w:val="center"/>
            <w:tcMar>
              <w:top w:w="70" w:type="dxa"/>
              <w:start w:w="90" w:type="dxa"/>
              <w:bottom w:w="70" w:type="dxa"/>
              <w:end w:w="90" w:type="dxa"/>
            </w:tcMar>
          </w:tcPr>
          <w:p>
            <w:pPr>
              <w:spacing w:after="0" w:line="240" w:lineRule="auto"/>
            </w:pPr>
            <w:r>
              <w:rPr>
                <w:rFonts w:ascii="Arial" w:hAnsi="Arial"/>
                <w:sz w:val="16"/>
              </w:rPr>
              <w:t>Effective specification</w:t>
            </w:r>
          </w:p>
        </w:tc>
        <w:tc>
          <w:tcPr>
            <w:tcW w:type="dxa" w:w="8208"/>
            <w:vAlign w:val="center"/>
            <w:tcMar>
              <w:top w:w="70" w:type="dxa"/>
              <w:start w:w="90" w:type="dxa"/>
              <w:bottom w:w="70" w:type="dxa"/>
              <w:end w:w="90" w:type="dxa"/>
            </w:tcMar>
          </w:tcPr>
          <w:p>
            <w:pPr>
              <w:spacing w:after="0" w:line="240" w:lineRule="auto"/>
            </w:pPr>
            <w:r>
              <w:rPr>
                <w:rFonts w:ascii="Arial" w:hAnsi="Arial"/>
                <w:sz w:val="16"/>
              </w:rPr>
              <w:t>Laboratory/Specifications/AVT-SPEC-022_AVI-355_Release_and_Stability_Specification.docx — version 04, EFFECTIVE 2024-06-15.</w:t>
            </w:r>
          </w:p>
        </w:tc>
      </w:tr>
      <w:tr>
        <w:trPr>
          <w:cantSplit/>
        </w:trPr>
        <w:tc>
          <w:tcPr>
            <w:tcW w:type="dxa" w:w="2088"/>
            <w:vAlign w:val="center"/>
            <w:tcMar>
              <w:top w:w="70" w:type="dxa"/>
              <w:start w:w="90" w:type="dxa"/>
              <w:bottom w:w="70" w:type="dxa"/>
              <w:end w:w="90" w:type="dxa"/>
            </w:tcMar>
          </w:tcPr>
          <w:p>
            <w:pPr>
              <w:spacing w:after="0" w:line="240" w:lineRule="auto"/>
            </w:pPr>
            <w:r>
              <w:rPr>
                <w:rFonts w:ascii="Arial" w:hAnsi="Arial"/>
                <w:sz w:val="16"/>
              </w:rPr>
              <w:t>Superseded specification</w:t>
            </w:r>
          </w:p>
        </w:tc>
        <w:tc>
          <w:tcPr>
            <w:tcW w:type="dxa" w:w="8208"/>
            <w:vAlign w:val="center"/>
            <w:tcMar>
              <w:top w:w="70" w:type="dxa"/>
              <w:start w:w="90" w:type="dxa"/>
              <w:bottom w:w="70" w:type="dxa"/>
              <w:end w:w="90" w:type="dxa"/>
            </w:tcMar>
          </w:tcPr>
          <w:p>
            <w:pPr>
              <w:spacing w:after="0" w:line="240" w:lineRule="auto"/>
            </w:pPr>
            <w:r>
              <w:rPr>
                <w:rFonts w:ascii="Arial" w:hAnsi="Arial"/>
                <w:sz w:val="16"/>
              </w:rPr>
              <w:t>Laboratory/Specifications/Superseded/AVT-SPEC-022_AVI-355_Release_and_Stability_Specification_v3.0_SUPERSEDED.docx — version 03, reference only.</w:t>
            </w:r>
          </w:p>
        </w:tc>
      </w:tr>
      <w:tr>
        <w:trPr>
          <w:cantSplit/>
        </w:trPr>
        <w:tc>
          <w:tcPr>
            <w:tcW w:type="dxa" w:w="2088"/>
            <w:vAlign w:val="center"/>
            <w:tcMar>
              <w:top w:w="70" w:type="dxa"/>
              <w:start w:w="90" w:type="dxa"/>
              <w:bottom w:w="70" w:type="dxa"/>
              <w:end w:w="90" w:type="dxa"/>
            </w:tcMar>
          </w:tcPr>
          <w:p>
            <w:pPr>
              <w:spacing w:after="0" w:line="240" w:lineRule="auto"/>
            </w:pPr>
            <w:r>
              <w:rPr>
                <w:rFonts w:ascii="Arial" w:hAnsi="Arial"/>
                <w:sz w:val="16"/>
              </w:rPr>
              <w:t>Accelerated source data</w:t>
            </w:r>
          </w:p>
        </w:tc>
        <w:tc>
          <w:tcPr>
            <w:tcW w:type="dxa" w:w="8208"/>
            <w:vAlign w:val="center"/>
            <w:tcMar>
              <w:top w:w="70" w:type="dxa"/>
              <w:start w:w="90" w:type="dxa"/>
              <w:bottom w:w="70" w:type="dxa"/>
              <w:end w:w="90" w:type="dxa"/>
            </w:tcMar>
          </w:tcPr>
          <w:p>
            <w:pPr>
              <w:spacing w:after="0" w:line="240" w:lineRule="auto"/>
            </w:pPr>
            <w:r>
              <w:rPr>
                <w:rFonts w:ascii="Arial" w:hAnsi="Arial"/>
                <w:sz w:val="16"/>
              </w:rPr>
              <w:t>Laboratory/Stability/STB-AVI355-011_Accelerated_Results.xlsx — 75 results through 6 months.</w:t>
            </w:r>
          </w:p>
        </w:tc>
      </w:tr>
      <w:tr>
        <w:trPr>
          <w:cantSplit/>
        </w:trPr>
        <w:tc>
          <w:tcPr>
            <w:tcW w:type="dxa" w:w="2088"/>
            <w:vAlign w:val="center"/>
            <w:tcMar>
              <w:top w:w="70" w:type="dxa"/>
              <w:start w:w="90" w:type="dxa"/>
              <w:bottom w:w="70" w:type="dxa"/>
              <w:end w:w="90" w:type="dxa"/>
            </w:tcMar>
          </w:tcPr>
          <w:p>
            <w:pPr>
              <w:spacing w:after="0" w:line="240" w:lineRule="auto"/>
            </w:pPr>
            <w:r>
              <w:rPr>
                <w:rFonts w:ascii="Arial" w:hAnsi="Arial"/>
                <w:sz w:val="16"/>
              </w:rPr>
              <w:t>Long-term source data</w:t>
            </w:r>
          </w:p>
        </w:tc>
        <w:tc>
          <w:tcPr>
            <w:tcW w:type="dxa" w:w="8208"/>
            <w:vAlign w:val="center"/>
            <w:tcMar>
              <w:top w:w="70" w:type="dxa"/>
              <w:start w:w="90" w:type="dxa"/>
              <w:bottom w:w="70" w:type="dxa"/>
              <w:end w:w="90" w:type="dxa"/>
            </w:tcMar>
          </w:tcPr>
          <w:p>
            <w:pPr>
              <w:spacing w:after="0" w:line="240" w:lineRule="auto"/>
            </w:pPr>
            <w:r>
              <w:rPr>
                <w:rFonts w:ascii="Arial" w:hAnsi="Arial"/>
                <w:sz w:val="16"/>
              </w:rPr>
              <w:t>Laboratory/Stability/STB-AVI355-012_Long_Term_Results.xlsx — 150 results through 18 months.</w:t>
            </w:r>
          </w:p>
        </w:tc>
      </w:tr>
      <w:tr>
        <w:trPr>
          <w:cantSplit/>
        </w:trPr>
        <w:tc>
          <w:tcPr>
            <w:tcW w:type="dxa" w:w="2088"/>
            <w:vAlign w:val="center"/>
            <w:tcMar>
              <w:top w:w="70" w:type="dxa"/>
              <w:start w:w="90" w:type="dxa"/>
              <w:bottom w:w="70" w:type="dxa"/>
              <w:end w:w="90" w:type="dxa"/>
            </w:tcMar>
          </w:tcPr>
          <w:p>
            <w:pPr>
              <w:spacing w:after="0" w:line="240" w:lineRule="auto"/>
            </w:pPr>
            <w:r>
              <w:rPr>
                <w:rFonts w:ascii="Arial" w:hAnsi="Arial"/>
                <w:sz w:val="16"/>
              </w:rPr>
              <w:t>Current interim report</w:t>
            </w:r>
          </w:p>
        </w:tc>
        <w:tc>
          <w:tcPr>
            <w:tcW w:type="dxa" w:w="8208"/>
            <w:vAlign w:val="center"/>
            <w:tcMar>
              <w:top w:w="70" w:type="dxa"/>
              <w:start w:w="90" w:type="dxa"/>
              <w:bottom w:w="70" w:type="dxa"/>
              <w:end w:w="90" w:type="dxa"/>
            </w:tcMar>
          </w:tcPr>
          <w:p>
            <w:pPr>
              <w:spacing w:after="0" w:line="240" w:lineRule="auto"/>
            </w:pPr>
            <w:r>
              <w:rPr>
                <w:rFonts w:ascii="Arial" w:hAnsi="Arial"/>
                <w:sz w:val="16"/>
              </w:rPr>
              <w:t>Laboratory/Stability/AVT-STB-342_AVI-355_Interim_Stability_Report.pdf — APPROVED; long-term through 18 months.</w:t>
            </w:r>
          </w:p>
        </w:tc>
      </w:tr>
      <w:tr>
        <w:trPr>
          <w:cantSplit/>
        </w:trPr>
        <w:tc>
          <w:tcPr>
            <w:tcW w:type="dxa" w:w="2088"/>
            <w:vAlign w:val="center"/>
            <w:tcMar>
              <w:top w:w="70" w:type="dxa"/>
              <w:start w:w="90" w:type="dxa"/>
              <w:bottom w:w="70" w:type="dxa"/>
              <w:end w:w="90" w:type="dxa"/>
            </w:tcMar>
          </w:tcPr>
          <w:p>
            <w:pPr>
              <w:spacing w:after="0" w:line="240" w:lineRule="auto"/>
            </w:pPr>
            <w:r>
              <w:rPr>
                <w:rFonts w:ascii="Arial" w:hAnsi="Arial"/>
                <w:sz w:val="16"/>
              </w:rPr>
              <w:t>Prior interim report</w:t>
            </w:r>
          </w:p>
        </w:tc>
        <w:tc>
          <w:tcPr>
            <w:tcW w:type="dxa" w:w="8208"/>
            <w:vAlign w:val="center"/>
            <w:tcMar>
              <w:top w:w="70" w:type="dxa"/>
              <w:start w:w="90" w:type="dxa"/>
              <w:bottom w:w="70" w:type="dxa"/>
              <w:end w:w="90" w:type="dxa"/>
            </w:tcMar>
          </w:tcPr>
          <w:p>
            <w:pPr>
              <w:spacing w:after="0" w:line="240" w:lineRule="auto"/>
            </w:pPr>
            <w:r>
              <w:rPr>
                <w:rFonts w:ascii="Arial" w:hAnsi="Arial"/>
                <w:sz w:val="16"/>
              </w:rPr>
              <w:t>Laboratory/Stability/AVT-STB-341_AVI-355_Interim_Stability_Report.pdf — SUPERSEDED; long-term through 12 months.</w:t>
            </w:r>
          </w:p>
        </w:tc>
      </w:tr>
      <w:tr>
        <w:trPr>
          <w:cantSplit/>
        </w:trPr>
        <w:tc>
          <w:tcPr>
            <w:tcW w:type="dxa" w:w="2088"/>
            <w:vAlign w:val="center"/>
            <w:tcMar>
              <w:top w:w="70" w:type="dxa"/>
              <w:start w:w="90" w:type="dxa"/>
              <w:bottom w:w="70" w:type="dxa"/>
              <w:end w:w="90" w:type="dxa"/>
            </w:tcMar>
          </w:tcPr>
          <w:p>
            <w:pPr>
              <w:spacing w:after="0" w:line="240" w:lineRule="auto"/>
            </w:pPr>
            <w:r>
              <w:rPr>
                <w:rFonts w:ascii="Arial" w:hAnsi="Arial"/>
                <w:sz w:val="16"/>
              </w:rPr>
              <w:t>Annual review</w:t>
            </w:r>
          </w:p>
        </w:tc>
        <w:tc>
          <w:tcPr>
            <w:tcW w:type="dxa" w:w="8208"/>
            <w:vAlign w:val="center"/>
            <w:tcMar>
              <w:top w:w="70" w:type="dxa"/>
              <w:start w:w="90" w:type="dxa"/>
              <w:bottom w:w="70" w:type="dxa"/>
              <w:end w:w="90" w:type="dxa"/>
            </w:tcMar>
          </w:tcPr>
          <w:p>
            <w:pPr>
              <w:spacing w:after="0" w:line="240" w:lineRule="auto"/>
            </w:pPr>
            <w:r>
              <w:rPr>
                <w:rFonts w:ascii="Arial" w:hAnsi="Arial"/>
                <w:sz w:val="16"/>
              </w:rPr>
              <w:t>CMC/Products/AVI-355/Annual Product Review/AVT-APQR-355-2025 AVI-355 APQR 2025.pdf — APPROVED.</w:t>
            </w:r>
          </w:p>
        </w:tc>
      </w:tr>
      <w:tr>
        <w:trPr>
          <w:cantSplit/>
        </w:trPr>
        <w:tc>
          <w:tcPr>
            <w:tcW w:type="dxa" w:w="2088"/>
            <w:vAlign w:val="center"/>
            <w:tcMar>
              <w:top w:w="70" w:type="dxa"/>
              <w:start w:w="90" w:type="dxa"/>
              <w:bottom w:w="70" w:type="dxa"/>
              <w:end w:w="90" w:type="dxa"/>
            </w:tcMar>
          </w:tcPr>
          <w:p>
            <w:pPr>
              <w:spacing w:after="0" w:line="240" w:lineRule="auto"/>
            </w:pPr>
            <w:r>
              <w:rPr>
                <w:rFonts w:ascii="Arial" w:hAnsi="Arial"/>
                <w:sz w:val="16"/>
              </w:rPr>
              <w:t>Investigation</w:t>
            </w:r>
          </w:p>
        </w:tc>
        <w:tc>
          <w:tcPr>
            <w:tcW w:type="dxa" w:w="8208"/>
            <w:vAlign w:val="center"/>
            <w:tcMar>
              <w:top w:w="70" w:type="dxa"/>
              <w:start w:w="90" w:type="dxa"/>
              <w:bottom w:w="70" w:type="dxa"/>
              <w:end w:w="90" w:type="dxa"/>
            </w:tcMar>
          </w:tcPr>
          <w:p>
            <w:pPr>
              <w:spacing w:after="0" w:line="240" w:lineRule="auto"/>
            </w:pPr>
            <w:r>
              <w:rPr>
                <w:rFonts w:ascii="Arial" w:hAnsi="Arial"/>
                <w:sz w:val="16"/>
              </w:rPr>
              <w:t>Quality/Laboratory Investigations/2026/LAB-INV-2026-014_AVI-355_Accelerated_Atypical_Result_Investigation.pdf — CLOSED; C21 3-month assay only.</w:t>
            </w:r>
          </w:p>
        </w:tc>
      </w:tr>
      <w:tr>
        <w:trPr>
          <w:cantSplit/>
        </w:trPr>
        <w:tc>
          <w:tcPr>
            <w:tcW w:type="dxa" w:w="2088"/>
            <w:vAlign w:val="center"/>
            <w:tcMar>
              <w:top w:w="70" w:type="dxa"/>
              <w:start w:w="90" w:type="dxa"/>
              <w:bottom w:w="70" w:type="dxa"/>
              <w:end w:w="90" w:type="dxa"/>
            </w:tcMar>
          </w:tcPr>
          <w:p>
            <w:pPr>
              <w:spacing w:after="0" w:line="240" w:lineRule="auto"/>
            </w:pPr>
            <w:r>
              <w:rPr>
                <w:rFonts w:ascii="Arial" w:hAnsi="Arial"/>
                <w:sz w:val="16"/>
              </w:rPr>
              <w:t>Working draft</w:t>
            </w:r>
          </w:p>
        </w:tc>
        <w:tc>
          <w:tcPr>
            <w:tcW w:type="dxa" w:w="8208"/>
            <w:vAlign w:val="center"/>
            <w:tcMar>
              <w:top w:w="70" w:type="dxa"/>
              <w:start w:w="90" w:type="dxa"/>
              <w:bottom w:w="70" w:type="dxa"/>
              <w:end w:w="90" w:type="dxa"/>
            </w:tcMar>
          </w:tcPr>
          <w:p>
            <w:pPr>
              <w:spacing w:after="0" w:line="240" w:lineRule="auto"/>
            </w:pPr>
            <w:r>
              <w:rPr>
                <w:rFonts w:ascii="Arial" w:hAnsi="Arial"/>
                <w:sz w:val="16"/>
              </w:rPr>
              <w:t>_Working/Sunil Chen/AVT-APQR-355-2026_stability_section_working_draft.docx — DRAFT, not effective.</w:t>
            </w:r>
          </w:p>
        </w:tc>
      </w:tr>
    </w:tbl>
    <w:p>
      <w:pPr>
        <w:pStyle w:val="Smalltext"/>
        <w:spacing w:before="120"/>
      </w:pPr>
      <w:r>
        <w:rPr>
          <w:b/>
        </w:rPr>
        <w:t xml:space="preserve">Assessment note: </w:t>
      </w:r>
      <w:r>
        <w:t>This document records a specification acceptability check of the available controlled and working records. It does not itself invalidate a laboratory result or replace the site OOS procedure, QA disposition, or regulatory assessment.</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788A"/>
        <w:sz w:val="15"/>
      </w:rPr>
      <w:t xml:space="preserve">AVI-355 specification acceptability check  •  08 February 2027  •  Page </w:t>
    </w:r>
    <w:r>
      <w:rPr>
        <w:rFonts w:ascii="Arial" w:hAnsi="Arial"/>
        <w:color w:val="66788A"/>
        <w:sz w:val="15"/>
      </w:rPr>
      <w:fldChar w:fldCharType="begin"/>
    </w:r>
    <w:r>
      <w:rPr>
        <w:rFonts w:ascii="Arial" w:hAnsi="Arial"/>
        <w:color w:val="66788A"/>
        <w:sz w:val="15"/>
      </w:rPr>
      <w:instrText xml:space="preserve">PAGE</w:instrText>
    </w:r>
    <w:r>
      <w:rPr>
        <w:rFonts w:ascii="Arial" w:hAnsi="Arial"/>
        <w:color w:val="66788A"/>
        <w:sz w:val="15"/>
      </w:rPr>
      <w:fldChar w:fldCharType="end"/>
    </w:r>
    <w:r>
      <w:rPr>
        <w:rFonts w:ascii="Arial" w:hAnsi="Arial"/>
        <w:color w:val="66788A"/>
        <w:sz w:val="15"/>
      </w:rPr>
      <w:t xml:space="preserve"> of </w:t>
    </w:r>
    <w:r>
      <w:rPr>
        <w:rFonts w:ascii="Arial" w:hAnsi="Arial"/>
        <w:color w:val="66788A"/>
        <w:sz w:val="15"/>
      </w:rPr>
      <w:fldChar w:fldCharType="begin"/>
    </w:r>
    <w:r>
      <w:rPr>
        <w:rFonts w:ascii="Arial" w:hAnsi="Arial"/>
        <w:color w:val="66788A"/>
        <w:sz w:val="15"/>
      </w:rPr>
      <w:instrText xml:space="preserve">NUMPAGES</w:instrText>
    </w:r>
    <w:r>
      <w:rPr>
        <w:rFonts w:ascii="Arial" w:hAnsi="Arial"/>
        <w:color w:val="66788A"/>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66788A"/>
        <w:sz w:val="15"/>
      </w:rPr>
      <w:t>HAVENOR THERAPEUTICS LTD.  |  QUALITY ASSESSMENT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eastAsia="Arial"/>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b/>
      <w:bCs/>
      <w:color w:val="2F559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Arial" w:hAnsi="Arial" w:eastAsia="Arial"/>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i/>
      <w:iCs/>
      <w:color w:val="44546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pPr>
      <w:spacing w:after="60"/>
    </w:pPr>
    <w:rPr>
      <w:rFonts w:ascii="Arial" w:hAnsi="Arial" w:eastAsia="Arial"/>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AVI-355 commitment-lot stability specification acceptability check</dc:title>
  <dc:subject>Assessment against AVT-SPEC-022 version 04</dc:subject>
  <dc:creator>Havenor Therapeutics Ltd. — Quality Assessment</dc:creator>
  <cp:keywords>AVI-355; Kelvoran; stability; specification; OOS; Impurity K1</cp:keywords>
  <dc:description>Prepared for Leena Rao, 08 February 2027.</dc:description>
  <cp:lastModifiedBy/>
  <cp:revision>1</cp:revision>
  <dcterms:created xsi:type="dcterms:W3CDTF">2013-12-23T23:15:00Z</dcterms:created>
  <dcterms:modified xsi:type="dcterms:W3CDTF">2013-12-23T23:15:00Z</dcterms:modified>
  <cp:category/>
</cp:coreProperties>
</file>