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Alternate overwrap supplier — supplier-record readiness check before signature (working note)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Company</w:t>
            </w:r>
          </w:p>
        </w:tc>
        <w:tc>
          <w:tcPr>
            <w:tcW w:type="dxa" w:w="2160"/>
          </w:tcPr>
          <w:p>
            <w:r>
              <w:t>Havenor Therapeutics Ltd.</w:t>
            </w:r>
          </w:p>
        </w:tc>
        <w:tc>
          <w:tcPr>
            <w:tcW w:type="dxa" w:w="2160"/>
          </w:tcPr>
          <w:p>
            <w:r>
              <w:t>Document ID</w:t>
            </w:r>
          </w:p>
        </w:tc>
        <w:tc>
          <w:tcPr>
            <w:tcW w:type="dxa" w:w="2160"/>
          </w:tcPr>
          <w:p>
            <w:r>
              <w:t>Working note — CC-AVI401-017 supplier record check</w:t>
            </w:r>
          </w:p>
        </w:tc>
      </w:tr>
      <w:tr>
        <w:tc>
          <w:tcPr>
            <w:tcW w:type="dxa" w:w="2160"/>
          </w:tcPr>
          <w:p>
            <w:r>
              <w:t>Title</w:t>
            </w:r>
          </w:p>
        </w:tc>
        <w:tc>
          <w:tcPr>
            <w:tcW w:type="dxa" w:w="2160"/>
          </w:tcPr>
          <w:p>
            <w:r>
              <w:t>CC-AVI401-017 / MAT-OWR-005 (Helion HF-55) — what would not stand up to an inspector today</w:t>
            </w:r>
          </w:p>
        </w:tc>
        <w:tc>
          <w:tcPr>
            <w:tcW w:type="dxa" w:w="2160"/>
          </w:tcPr>
          <w:p>
            <w:r>
              <w:t>Version</w:t>
            </w:r>
          </w:p>
        </w:tc>
        <w:tc>
          <w:tcPr>
            <w:tcW w:type="dxa" w:w="2160"/>
          </w:tcPr>
          <w:p>
            <w:r>
              <w:t>00</w:t>
            </w:r>
          </w:p>
        </w:tc>
      </w:tr>
      <w:tr>
        <w:tc>
          <w:tcPr>
            <w:tcW w:type="dxa" w:w="2160"/>
          </w:tcPr>
          <w:p>
            <w:r>
              <w:t>Status</w:t>
            </w:r>
          </w:p>
        </w:tc>
        <w:tc>
          <w:tcPr>
            <w:tcW w:type="dxa" w:w="2160"/>
          </w:tcPr>
          <w:p>
            <w:r>
              <w:t>WORKING NOTE — NOT A GOVERNED RECORD, NOT AN APPROVAL</w:t>
            </w:r>
          </w:p>
        </w:tc>
        <w:tc>
          <w:tcPr>
            <w:tcW w:type="dxa" w:w="2160"/>
          </w:tcPr>
          <w:p>
            <w:r>
              <w:t>Effective date</w:t>
            </w:r>
          </w:p>
        </w:tc>
        <w:tc>
          <w:tcPr>
            <w:tcW w:type="dxa" w:w="2160"/>
          </w:tcPr>
          <w:p>
            <w:r>
              <w:t>Not effective — working note</w:t>
            </w:r>
          </w:p>
        </w:tc>
      </w:tr>
      <w:tr>
        <w:tc>
          <w:tcPr>
            <w:tcW w:type="dxa" w:w="2160"/>
          </w:tcPr>
          <w:p>
            <w:r>
              <w:t>Owner</w:t>
            </w:r>
          </w:p>
        </w:tc>
        <w:tc>
          <w:tcPr>
            <w:tcW w:type="dxa" w:w="2160"/>
          </w:tcPr>
          <w:p>
            <w:r>
              <w:t>Ravi Maartens, Supplier Quality Manager</w:t>
            </w:r>
          </w:p>
        </w:tc>
        <w:tc>
          <w:tcPr>
            <w:tcW w:type="dxa" w:w="2160"/>
          </w:tcPr>
          <w:p>
            <w:r>
              <w:t>Classification</w:t>
            </w:r>
          </w:p>
        </w:tc>
        <w:tc>
          <w:tcPr>
            <w:tcW w:type="dxa" w:w="2160"/>
          </w:tcPr>
          <w:p>
            <w:r>
              <w:t>GxP Controlled</w:t>
            </w:r>
          </w:p>
        </w:tc>
      </w:tr>
      <w:tr>
        <w:tc>
          <w:tcPr>
            <w:tcW w:type="dxa" w:w="2160"/>
          </w:tcPr>
          <w:p>
            <w:r>
              <w:t>Prepared</w:t>
            </w:r>
          </w:p>
        </w:tc>
        <w:tc>
          <w:tcPr>
            <w:tcW w:type="dxa" w:w="2160"/>
          </w:tcPr>
          <w:p>
            <w:r>
              <w:t>2027-02-08</w:t>
            </w:r>
          </w:p>
        </w:tc>
        <w:tc>
          <w:tcPr>
            <w:tcW w:type="dxa" w:w="2160"/>
          </w:tcPr>
          <w:p>
            <w:r>
              <w:t>Purpose</w:t>
            </w:r>
          </w:p>
        </w:tc>
        <w:tc>
          <w:tcPr>
            <w:tcW w:type="dxa" w:w="2160"/>
          </w:tcPr>
          <w:p>
            <w:r>
              <w:t>Pre-signature review of the change and supplier record</w:t>
            </w:r>
          </w:p>
        </w:tc>
      </w:tr>
    </w:tbl>
    <w:p>
      <w:pPr>
        <w:pStyle w:val="Heading1"/>
      </w:pPr>
      <w:r>
        <w:t>1. Why this note exists</w:t>
      </w:r>
    </w:p>
    <w:p>
      <w:r>
        <w:t>Supplier Quality is being asked to sign the supplier-qualification workstream of CC-AVI401-017 (qualify alternate overwrap supplier, proposed material MAT-OWR-005, Helion HF-55 barrier overwrap film) so that the change can move to Quality approval. This note records what is actually in the change record and in the supplier record on 2027-02-08, and identifies the points that would not survive an inspector reading the same files. It is a working note. It does not approve, qualify, or release anything, and it does not replace the governed record in QMS or the supplier quality management record.</w:t>
      </w:r>
    </w:p>
    <w:p>
      <w:r>
        <w:t>Records reviewed: Quality/Change Control/CC-AVI401-017_Change_Status.xlsx; Quality/Change Control/Change Control Register.xlsx; CMC/Technical Assessments/AVT-CMC-041 (v01, DRAFT — cross-functional review); Supply Chain/Suppliers/Helion Film Converting (qualification)/HFC-QN-2026-074; Supply Chain/Suppliers/SUP-008 Ilyssa Barrier Films (AVT-QAG-008 v1.0, AUD-2024-002, certificates); AVT-SOP-008 v4.0, AVT-SOP-015 v4.0, AVT-SOP-067 v2.0, AVT-SOP-068 v2.0, AVT-SOP-070 v4.0, AVT-SOP-076 v1.0; Regulatory/Dossier/APP-CN-AVI401-001/0003 3.2.P.8 Stability Summary; Quality/Deviations Deviation and CAPA Register; Supplier Performance Review minutes 2024-11-18 to 2026-11-07; Correspondence 2025 "Sampling plan for alternate component"; CC-2025-002 (v1.0, Effective); _Working/Tomas Li STB-AVI401-002 24-month workbooks (rev 0.4, not QC approved).</w:t>
      </w:r>
    </w:p>
    <w:p>
      <w:pPr>
        <w:pStyle w:val="Heading1"/>
      </w:pPr>
      <w:r>
        <w:t>2. Bottom line</w:t>
      </w:r>
    </w:p>
    <w:p>
      <w:r>
        <w:t>The supplier-qualification workstream cannot be signed as complete today. On the evidence in the files, Helion Film Converting is not a qualified supplier by any of the criteria in AVT-SOP-067 or AVT-SOP-070: there is no supplier identifier, no named manufacturing site, no risk classification, no audit, no quality agreement, no incoming specification, no sampling plan, and no certificate or drawing in the file. The only document in the supplier folder is the supplier’s own notification letter, and that letter expressly declines to claim equivalence to the registered film. A signature now would be a Supplier Quality attestation with nothing underneath it, on a change that is not even in the change control register.</w:t>
      </w:r>
    </w:p>
    <w:p>
      <w:r>
        <w:t>Recommended position: return the workstream as "Open — evidence not available", record the gaps below in the governed record, and do not sign a qualification statement until items E-01 to E-09 in section 8 exist as controlled records. If a signature is required at this stage for routing purposes, it should be limited in wording to "supplier not qualified; qualification evidence outstanding" and must not be represented as supplier approval.</w:t>
      </w:r>
    </w:p>
    <w:p>
      <w:pPr>
        <w:pStyle w:val="Heading1"/>
      </w:pPr>
      <w:r>
        <w:t>3. What an inspector would see first</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w:t>
            </w:r>
          </w:p>
        </w:tc>
        <w:tc>
          <w:tcPr>
            <w:tcW w:type="dxa" w:w="2880"/>
          </w:tcPr>
          <w:p>
            <w:r>
              <w:rPr>
                <w:b/>
              </w:rPr>
              <w:t>What the record shows today</w:t>
            </w:r>
          </w:p>
        </w:tc>
        <w:tc>
          <w:tcPr>
            <w:tcW w:type="dxa" w:w="2880"/>
          </w:tcPr>
          <w:p>
            <w:r>
              <w:rPr>
                <w:b/>
              </w:rPr>
              <w:t>Why it does not stand up</w:t>
            </w:r>
          </w:p>
        </w:tc>
      </w:tr>
      <w:tr>
        <w:tc>
          <w:tcPr>
            <w:tcW w:type="dxa" w:w="2880"/>
          </w:tcPr>
          <w:p>
            <w:r>
              <w:t>A</w:t>
            </w:r>
          </w:p>
        </w:tc>
        <w:tc>
          <w:tcPr>
            <w:tcW w:type="dxa" w:w="2880"/>
          </w:tcPr>
          <w:p>
            <w:r>
              <w:t>CC-AVI401-017 does not appear in Change Control Register.xlsx. The register runs CC-YYYY-NNN and ends at CC-2027-001 and CC-2027-002; there is no controlled change document in Quality/Change Control/2027 for this change.</w:t>
            </w:r>
          </w:p>
        </w:tc>
        <w:tc>
          <w:tcPr>
            <w:tcW w:type="dxa" w:w="2880"/>
          </w:tcPr>
          <w:p>
            <w:r>
              <w:t>The change exists only as a status spreadsheet plus a draft assessment. AVT-SOP-008 and AVT-SOP-070 §2 state that email, meeting minutes or an unsigned working file may not replace the governed record. An inspector will ask which system holds this change and why the register does not.</w:t>
            </w:r>
          </w:p>
        </w:tc>
      </w:tr>
      <w:tr>
        <w:tc>
          <w:tcPr>
            <w:tcW w:type="dxa" w:w="2880"/>
          </w:tcPr>
          <w:p>
            <w:r>
              <w:t>B</w:t>
            </w:r>
          </w:p>
        </w:tc>
        <w:tc>
          <w:tcPr>
            <w:tcW w:type="dxa" w:w="2880"/>
          </w:tcPr>
          <w:p>
            <w:r>
              <w:t>The identifier itself does not follow site convention (CC-AVI401-017 vs CC-YYYY-NNN), and the sequence implies sixteen earlier product-specific changes with no register trail.</w:t>
            </w:r>
          </w:p>
        </w:tc>
        <w:tc>
          <w:tcPr>
            <w:tcW w:type="dxa" w:w="2880"/>
          </w:tcPr>
          <w:p>
            <w:r>
              <w:t>Numbering that cannot be reconciled to the register invites a data-integrity question about completeness of the change control system, not just about this change.</w:t>
            </w:r>
          </w:p>
        </w:tc>
      </w:tr>
      <w:tr>
        <w:tc>
          <w:tcPr>
            <w:tcW w:type="dxa" w:w="2880"/>
          </w:tcPr>
          <w:p>
            <w:r>
              <w:t>C</w:t>
            </w:r>
          </w:p>
        </w:tc>
        <w:tc>
          <w:tcPr>
            <w:tcW w:type="dxa" w:w="2880"/>
          </w:tcPr>
          <w:p>
            <w:r>
              <w:t>Supply Chain/Suppliers/Helion Film Converting (qualification) contains exactly one file: HFC-QN-2026-074, dated 2026-11-04, addressed to Priya Noor.</w:t>
            </w:r>
          </w:p>
        </w:tc>
        <w:tc>
          <w:tcPr>
            <w:tcW w:type="dxa" w:w="2880"/>
          </w:tcPr>
          <w:p>
            <w:r>
              <w:t>Three months have passed to 2027-02-08 and the supplier record still has no SUP number, no site, no risk class, no audit, no agreement and no certificates. Every field of the Annex 2 minimum record in AVT-SOP-067 and AVT-SOP-070 (supplier, site, material/service scope, risk class, audit status, agreement, changes, performance actions) is blank.</w:t>
            </w:r>
          </w:p>
        </w:tc>
      </w:tr>
      <w:tr>
        <w:tc>
          <w:tcPr>
            <w:tcW w:type="dxa" w:w="2880"/>
          </w:tcPr>
          <w:p>
            <w:r>
              <w:t>D</w:t>
            </w:r>
          </w:p>
        </w:tc>
        <w:tc>
          <w:tcPr>
            <w:tcW w:type="dxa" w:w="2880"/>
          </w:tcPr>
          <w:p>
            <w:r>
              <w:t>AVT-CMC-041 is version 01, status "DRAFT — CROSS-FUNCTIONAL REVIEW", not effective, approver "Pending", dated today (2027-02-08).</w:t>
            </w:r>
          </w:p>
        </w:tc>
        <w:tc>
          <w:tcPr>
            <w:tcW w:type="dxa" w:w="2880"/>
          </w:tcPr>
          <w:p>
            <w:r>
              <w:t>The only technical document supporting the change was issued the same day the signature is being requested and is not approved. It cannot be cited as the basis for a Supplier Quality conclusion.</w:t>
            </w:r>
          </w:p>
        </w:tc>
      </w:tr>
    </w:tbl>
    <w:p>
      <w:pPr>
        <w:pStyle w:val="Heading1"/>
      </w:pPr>
      <w:r>
        <w:t>4. Gaps in the supplier record (Supplier Quality accountability)</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Ref</w:t>
            </w:r>
          </w:p>
        </w:tc>
        <w:tc>
          <w:tcPr>
            <w:tcW w:type="dxa" w:w="2160"/>
          </w:tcPr>
          <w:p>
            <w:r>
              <w:rPr>
                <w:b/>
              </w:rPr>
              <w:t>Requirement and reference</w:t>
            </w:r>
          </w:p>
        </w:tc>
        <w:tc>
          <w:tcPr>
            <w:tcW w:type="dxa" w:w="2160"/>
          </w:tcPr>
          <w:p>
            <w:r>
              <w:rPr>
                <w:b/>
              </w:rPr>
              <w:t>State in the record</w:t>
            </w:r>
          </w:p>
        </w:tc>
        <w:tc>
          <w:tcPr>
            <w:tcW w:type="dxa" w:w="2160"/>
          </w:tcPr>
          <w:p>
            <w:r>
              <w:rPr>
                <w:b/>
              </w:rPr>
              <w:t>Consequence if signed today</w:t>
            </w:r>
          </w:p>
        </w:tc>
      </w:tr>
      <w:tr>
        <w:tc>
          <w:tcPr>
            <w:tcW w:type="dxa" w:w="2160"/>
          </w:tcPr>
          <w:p>
            <w:r>
              <w:t>S-01</w:t>
            </w:r>
          </w:p>
        </w:tc>
        <w:tc>
          <w:tcPr>
            <w:tcW w:type="dxa" w:w="2160"/>
          </w:tcPr>
          <w:p>
            <w:r>
              <w:t>Supplier identity and manufacturing site; broker/converter site must be identified (AVT-QAG-008 §7 pattern; AVT-SOP-067 Annex 2).</w:t>
            </w:r>
          </w:p>
        </w:tc>
        <w:tc>
          <w:tcPr>
            <w:tcW w:type="dxa" w:w="2160"/>
          </w:tcPr>
          <w:p>
            <w:r>
              <w:t>Helion is filed under a name, not a SUP identifier. No site address, no converting site, no subcontractors named. Every other film/component source in the file set has a SUP number (e.g. SUP-008 Ilyssa Barrier Films).</w:t>
            </w:r>
          </w:p>
        </w:tc>
        <w:tc>
          <w:tcPr>
            <w:tcW w:type="dxa" w:w="2160"/>
          </w:tcPr>
          <w:p>
            <w:r>
              <w:t>The qualification would be attributed to an unidentified site. Nothing prevents supply from a site never assessed.</w:t>
            </w:r>
          </w:p>
        </w:tc>
      </w:tr>
      <w:tr>
        <w:tc>
          <w:tcPr>
            <w:tcW w:type="dxa" w:w="2160"/>
          </w:tcPr>
          <w:p>
            <w:r>
              <w:t>S-02</w:t>
            </w:r>
          </w:p>
        </w:tc>
        <w:tc>
          <w:tcPr>
            <w:tcW w:type="dxa" w:w="2160"/>
          </w:tcPr>
          <w:p>
            <w:r>
              <w:t>Documented risk classification before approval (AVT-SOP-067 §3: "approval is based on documented risk, qualification evidence and current quality agreement").</w:t>
            </w:r>
          </w:p>
        </w:tc>
        <w:tc>
          <w:tcPr>
            <w:tcW w:type="dxa" w:w="2160"/>
          </w:tcPr>
          <w:p>
            <w:r>
              <w:t>No risk class recorded anywhere for Helion or MAT-OWR-005.</w:t>
            </w:r>
          </w:p>
        </w:tc>
        <w:tc>
          <w:tcPr>
            <w:tcW w:type="dxa" w:w="2160"/>
          </w:tcPr>
          <w:p>
            <w:r>
              <w:t>No basis for choosing audit depth, sampling regime or notification requirements; the whole qualification path is undefined.</w:t>
            </w:r>
          </w:p>
        </w:tc>
      </w:tr>
      <w:tr>
        <w:tc>
          <w:tcPr>
            <w:tcW w:type="dxa" w:w="2160"/>
          </w:tcPr>
          <w:p>
            <w:r>
              <w:t>S-03</w:t>
            </w:r>
          </w:p>
        </w:tc>
        <w:tc>
          <w:tcPr>
            <w:tcW w:type="dxa" w:w="2160"/>
          </w:tcPr>
          <w:p>
            <w:r>
              <w:t>Audit status (on-site audit, or a documented and approved justification for a desk assessment).</w:t>
            </w:r>
          </w:p>
        </w:tc>
        <w:tc>
          <w:tcPr>
            <w:tcW w:type="dxa" w:w="2160"/>
          </w:tcPr>
          <w:p>
            <w:r>
              <w:t>No audit of Helion exists. Comparable suppliers hold triennial audit reports (AUD-2020/2023/2026 series; Ilyssa AUD-2024-002).</w:t>
            </w:r>
          </w:p>
        </w:tc>
        <w:tc>
          <w:tcPr>
            <w:tcW w:type="dxa" w:w="2160"/>
          </w:tcPr>
          <w:p>
            <w:r>
              <w:t>A new barrier-film source for a registered sterile product would be approved with no assessment of its quality system. This is the single hardest finding to answer.</w:t>
            </w:r>
          </w:p>
        </w:tc>
      </w:tr>
      <w:tr>
        <w:tc>
          <w:tcPr>
            <w:tcW w:type="dxa" w:w="2160"/>
          </w:tcPr>
          <w:p>
            <w:r>
              <w:t>S-04</w:t>
            </w:r>
          </w:p>
        </w:tc>
        <w:tc>
          <w:tcPr>
            <w:tcW w:type="dxa" w:w="2160"/>
          </w:tcPr>
          <w:p>
            <w:r>
              <w:t>Executed quality agreement, including change notification (compare AVT-QAG-008 §6: written notice not less than 90 days before implementation, prior approval before shipment where the scope schedule requires it; AVT-SOP-013).</w:t>
            </w:r>
          </w:p>
        </w:tc>
        <w:tc>
          <w:tcPr>
            <w:tcW w:type="dxa" w:w="2160"/>
          </w:tcPr>
          <w:p>
            <w:r>
              <w:t>No quality agreement with Helion. The letter’s statement that first shipment is 90 days after written approval is a commercial undertaking in a supplier letter, not a quality obligation on Havenor’s side.</w:t>
            </w:r>
          </w:p>
        </w:tc>
        <w:tc>
          <w:tcPr>
            <w:tcW w:type="dxa" w:w="2160"/>
          </w:tcPr>
          <w:p>
            <w:r>
              <w:t>Risk R-04 in AVT-CMC-041 ("supplier change notification inadequate", Major) is listed as controlled by a quality agreement that does not exist. Havenor would have no contractual right to notification, records, audit or data-integrity controls.</w:t>
            </w:r>
          </w:p>
        </w:tc>
      </w:tr>
      <w:tr>
        <w:tc>
          <w:tcPr>
            <w:tcW w:type="dxa" w:w="2160"/>
          </w:tcPr>
          <w:p>
            <w:r>
              <w:t>S-05</w:t>
            </w:r>
          </w:p>
        </w:tc>
        <w:tc>
          <w:tcPr>
            <w:tcW w:type="dxa" w:w="2160"/>
          </w:tcPr>
          <w:p>
            <w:r>
              <w:t>Material/service scope schedule and approved-source entry (AVT-SOP-070; ERP material status).</w:t>
            </w:r>
          </w:p>
        </w:tc>
        <w:tc>
          <w:tcPr>
            <w:tcW w:type="dxa" w:w="2160"/>
          </w:tcPr>
          <w:p>
            <w:r>
              <w:t>CC-AVI401-017 shows ERP "Material/supplier status and effectivity — Open". MAT-OWR-005 has no incoming specification under AVT-SOP-076 and no approved-source entry.</w:t>
            </w:r>
          </w:p>
        </w:tc>
        <w:tc>
          <w:tcPr>
            <w:tcW w:type="dxa" w:w="2160"/>
          </w:tcPr>
          <w:p>
            <w:r>
              <w:t>Risk R-07 ("ERP effectivity precedes approval", Critical) has no verified control evidence; the gate is asserted, not demonstrated.</w:t>
            </w:r>
          </w:p>
        </w:tc>
      </w:tr>
      <w:tr>
        <w:tc>
          <w:tcPr>
            <w:tcW w:type="dxa" w:w="2160"/>
          </w:tcPr>
          <w:p>
            <w:r>
              <w:t>S-06</w:t>
            </w:r>
          </w:p>
        </w:tc>
        <w:tc>
          <w:tcPr>
            <w:tcW w:type="dxa" w:w="2160"/>
          </w:tcPr>
          <w:p>
            <w:r>
              <w:t>Incoming control: sampling plan and incoming specification (AVT-SOP-068 v2.0; note v3.0 is still in Drafts).</w:t>
            </w:r>
          </w:p>
        </w:tc>
        <w:tc>
          <w:tcPr>
            <w:tcW w:type="dxa" w:w="2160"/>
          </w:tcPr>
          <w:p>
            <w:r>
              <w:t>None for MAT-OWR-005. The only sampling discussion on file for an alternate film is the 2025 email thread ("reduced sampling on the first three lots then skip-lot"), where two clauses still referenced the old material code, the plan was sent back, and the closing email says the receipt record would be raised "once the corrected version lands". No corrected plan and no receipt record are in the file.</w:t>
            </w:r>
          </w:p>
        </w:tc>
        <w:tc>
          <w:tcPr>
            <w:tcW w:type="dxa" w:w="2160"/>
          </w:tcPr>
          <w:p>
            <w:r>
              <w:t>A reduced/skip-lot regime discussed by email, for a material with no approved specification, is exactly the pattern an inspector cites as email substituting for the governed record.</w:t>
            </w:r>
          </w:p>
        </w:tc>
      </w:tr>
      <w:tr>
        <w:tc>
          <w:tcPr>
            <w:tcW w:type="dxa" w:w="2160"/>
          </w:tcPr>
          <w:p>
            <w:r>
              <w:t>S-07</w:t>
            </w:r>
          </w:p>
        </w:tc>
        <w:tc>
          <w:tcPr>
            <w:tcW w:type="dxa" w:w="2160"/>
          </w:tcPr>
          <w:p>
            <w:r>
              <w:t>Supplier certificates and drawings supporting the proposed material.</w:t>
            </w:r>
          </w:p>
        </w:tc>
        <w:tc>
          <w:tcPr>
            <w:tcW w:type="dxa" w:w="2160"/>
          </w:tcPr>
          <w:p>
            <w:r>
              <w:t>HFC-QN-2026-074 states that drawings HF-55-100-A and HF-55-250-A and two qualification certificates (lots HFC-55-Q1, HFC-55-Q2) travel as separate files and should be requested by number if absent. They are not in the folder. AVT-CMC-041 records "drawing still outstanding".</w:t>
            </w:r>
          </w:p>
        </w:tc>
        <w:tc>
          <w:tcPr>
            <w:tcW w:type="dxa" w:w="2160"/>
          </w:tcPr>
          <w:p>
            <w:r>
              <w:t>The evidence base is a single unverified supplier letter. No Havenor verification of any stated value exists.</w:t>
            </w:r>
          </w:p>
        </w:tc>
      </w:tr>
      <w:tr>
        <w:tc>
          <w:tcPr>
            <w:tcW w:type="dxa" w:w="2160"/>
          </w:tcPr>
          <w:p>
            <w:r>
              <w:t>S-08</w:t>
            </w:r>
          </w:p>
        </w:tc>
        <w:tc>
          <w:tcPr>
            <w:tcW w:type="dxa" w:w="2160"/>
          </w:tcPr>
          <w:p>
            <w:r>
              <w:t>Receipt and processing of a vendor change notification as a governed record on the day of recognition (AVT-SOP-015 v4.0 §5).</w:t>
            </w:r>
          </w:p>
        </w:tc>
        <w:tc>
          <w:tcPr>
            <w:tcW w:type="dxa" w:w="2160"/>
          </w:tcPr>
          <w:p>
            <w:r>
              <w:t>The letter is dated 2026-11-04 and addressed to Supplier Quality (P. Noor), but CC-AVI401-017 assigns evidence item 1 to the Packaging Engineer and simply marks it "Received" with no date, actor or receipt record. The Supplier Performance Review of 2026-11-07, three days later, does not mention it.</w:t>
            </w:r>
          </w:p>
        </w:tc>
        <w:tc>
          <w:tcPr>
            <w:tcW w:type="dxa" w:w="2160"/>
          </w:tcPr>
          <w:p>
            <w:r>
              <w:t>Attribution and chronology for receipt of the notification cannot be reconstructed — an ALCOA(+) finding independent of the technical merits.</w:t>
            </w:r>
          </w:p>
        </w:tc>
      </w:tr>
    </w:tbl>
    <w:p>
      <w:pPr>
        <w:pStyle w:val="Heading1"/>
      </w:pPr>
      <w:r>
        <w:t>5. The technical content works against the change, and Supplier Quality would be signing over it</w:t>
      </w:r>
    </w:p>
    <w:p>
      <w:r>
        <w:t>HFC-QN-2026-074 is the only technical document in the supplier record, and it documents a barrier reduction against the registered film. It also states that Helion has not run Havenor’s filling line, does not claim process equivalence, does not hold Havenor product-stability data, and does not represent that HF-55 matches the oxygen barrier of BF-51 — leaving the acceptability of the OTR difference for a drug that forms an N-oxide explicitly to Havenor.</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Attribute</w:t>
            </w:r>
          </w:p>
        </w:tc>
        <w:tc>
          <w:tcPr>
            <w:tcW w:type="dxa" w:w="2160"/>
          </w:tcPr>
          <w:p>
            <w:r>
              <w:rPr>
                <w:b/>
              </w:rPr>
              <w:t>HF-55 (proposed, MAT-OWR-005)</w:t>
            </w:r>
          </w:p>
        </w:tc>
        <w:tc>
          <w:tcPr>
            <w:tcW w:type="dxa" w:w="2160"/>
          </w:tcPr>
          <w:p>
            <w:r>
              <w:rPr>
                <w:b/>
              </w:rPr>
              <w:t>BF-51 (registered, Ilyssa SUP-008)</w:t>
            </w:r>
          </w:p>
        </w:tc>
        <w:tc>
          <w:tcPr>
            <w:tcW w:type="dxa" w:w="2160"/>
          </w:tcPr>
          <w:p>
            <w:r>
              <w:rPr>
                <w:b/>
              </w:rPr>
              <w:t>Reading</w:t>
            </w:r>
          </w:p>
        </w:tc>
      </w:tr>
      <w:tr>
        <w:tc>
          <w:tcPr>
            <w:tcW w:type="dxa" w:w="2160"/>
          </w:tcPr>
          <w:p>
            <w:r>
              <w:t>Construction / EVOH ethylene</w:t>
            </w:r>
          </w:p>
        </w:tc>
        <w:tc>
          <w:tcPr>
            <w:tcW w:type="dxa" w:w="2160"/>
          </w:tcPr>
          <w:p>
            <w:r>
              <w:t>PE / EVOH-44 / PE; 44 mol %</w:t>
            </w:r>
          </w:p>
        </w:tc>
        <w:tc>
          <w:tcPr>
            <w:tcW w:type="dxa" w:w="2160"/>
          </w:tcPr>
          <w:p>
            <w:r>
              <w:t>PE / EVOH-32 / PE; 32 mol %</w:t>
            </w:r>
          </w:p>
        </w:tc>
        <w:tc>
          <w:tcPr>
            <w:tcW w:type="dxa" w:w="2160"/>
          </w:tcPr>
          <w:p>
            <w:r>
              <w:t>Different barrier polymer grade, not a like-for-like second source.</w:t>
            </w:r>
          </w:p>
        </w:tc>
      </w:tr>
      <w:tr>
        <w:tc>
          <w:tcPr>
            <w:tcW w:type="dxa" w:w="2160"/>
          </w:tcPr>
          <w:p>
            <w:r>
              <w:t>Total thickness</w:t>
            </w:r>
          </w:p>
        </w:tc>
        <w:tc>
          <w:tcPr>
            <w:tcW w:type="dxa" w:w="2160"/>
          </w:tcPr>
          <w:p>
            <w:r>
              <w:t>55 µm (22/6/27)</w:t>
            </w:r>
          </w:p>
        </w:tc>
        <w:tc>
          <w:tcPr>
            <w:tcW w:type="dxa" w:w="2160"/>
          </w:tcPr>
          <w:p>
            <w:r>
              <w:t>51 µm (20/5/26)</w:t>
            </w:r>
          </w:p>
        </w:tc>
        <w:tc>
          <w:tcPr>
            <w:tcW w:type="dxa" w:w="2160"/>
          </w:tcPr>
          <w:p>
            <w:r>
              <w:t>Thicker film, lower barrier — thickness does not compensate.</w:t>
            </w:r>
          </w:p>
        </w:tc>
      </w:tr>
      <w:tr>
        <w:tc>
          <w:tcPr>
            <w:tcW w:type="dxa" w:w="2160"/>
          </w:tcPr>
          <w:p>
            <w:r>
              <w:t>OTR 23 °C / 0 % RH</w:t>
            </w:r>
          </w:p>
        </w:tc>
        <w:tc>
          <w:tcPr>
            <w:tcW w:type="dxa" w:w="2160"/>
          </w:tcPr>
          <w:p>
            <w:r>
              <w:t>2.1 cm³/m²·d·bar</w:t>
            </w:r>
          </w:p>
        </w:tc>
        <w:tc>
          <w:tcPr>
            <w:tcW w:type="dxa" w:w="2160"/>
          </w:tcPr>
          <w:p>
            <w:r>
              <w:t>0.8 cm³/m²·d·bar</w:t>
            </w:r>
          </w:p>
        </w:tc>
        <w:tc>
          <w:tcPr>
            <w:tcW w:type="dxa" w:w="2160"/>
          </w:tcPr>
          <w:p>
            <w:r>
              <w:t>2.6× the registered film.</w:t>
            </w:r>
          </w:p>
        </w:tc>
      </w:tr>
      <w:tr>
        <w:tc>
          <w:tcPr>
            <w:tcW w:type="dxa" w:w="2160"/>
          </w:tcPr>
          <w:p>
            <w:r>
              <w:t>OTR 23 °C / 65 % RH</w:t>
            </w:r>
          </w:p>
        </w:tc>
        <w:tc>
          <w:tcPr>
            <w:tcW w:type="dxa" w:w="2160"/>
          </w:tcPr>
          <w:p>
            <w:r>
              <w:t>3.8 cm³/m²·d·bar</w:t>
            </w:r>
          </w:p>
        </w:tc>
        <w:tc>
          <w:tcPr>
            <w:tcW w:type="dxa" w:w="2160"/>
          </w:tcPr>
          <w:p>
            <w:r>
              <w:t>2.4 cm³/m²·d·bar</w:t>
            </w:r>
          </w:p>
        </w:tc>
        <w:tc>
          <w:tcPr>
            <w:tcW w:type="dxa" w:w="2160"/>
          </w:tcPr>
          <w:p>
            <w:r>
              <w:t>58 % higher at the condition quoted in the dossier.</w:t>
            </w:r>
          </w:p>
        </w:tc>
      </w:tr>
      <w:tr>
        <w:tc>
          <w:tcPr>
            <w:tcW w:type="dxa" w:w="2160"/>
          </w:tcPr>
          <w:p>
            <w:r>
              <w:t>WVTR 38 °C / 90 % RH</w:t>
            </w:r>
          </w:p>
        </w:tc>
        <w:tc>
          <w:tcPr>
            <w:tcW w:type="dxa" w:w="2160"/>
          </w:tcPr>
          <w:p>
            <w:r>
              <w:t>1.2 g/m²·d</w:t>
            </w:r>
          </w:p>
        </w:tc>
        <w:tc>
          <w:tcPr>
            <w:tcW w:type="dxa" w:w="2160"/>
          </w:tcPr>
          <w:p>
            <w:r>
              <w:t>1.5 g/m²·d</w:t>
            </w:r>
          </w:p>
        </w:tc>
        <w:tc>
          <w:tcPr>
            <w:tcW w:type="dxa" w:w="2160"/>
          </w:tcPr>
          <w:p>
            <w:r>
              <w:t>Slightly better; not the controlling attribute.</w:t>
            </w:r>
          </w:p>
        </w:tc>
      </w:tr>
      <w:tr>
        <w:tc>
          <w:tcPr>
            <w:tcW w:type="dxa" w:w="2160"/>
          </w:tcPr>
          <w:p>
            <w:r>
              <w:t>Seal window</w:t>
            </w:r>
          </w:p>
        </w:tc>
        <w:tc>
          <w:tcPr>
            <w:tcW w:type="dxa" w:w="2160"/>
          </w:tcPr>
          <w:p>
            <w:r>
              <w:t>132–152 °C</w:t>
            </w:r>
          </w:p>
        </w:tc>
        <w:tc>
          <w:tcPr>
            <w:tcW w:type="dxa" w:w="2160"/>
          </w:tcPr>
          <w:p>
            <w:r>
              <w:t>135–155 °C</w:t>
            </w:r>
          </w:p>
        </w:tc>
        <w:tc>
          <w:tcPr>
            <w:tcW w:type="dxa" w:w="2160"/>
          </w:tcPr>
          <w:p>
            <w:r>
              <w:t>Common window is only 135–152 °C; current line settings may sit outside it. Risk R-02 (Major) is untested.</w:t>
            </w:r>
          </w:p>
        </w:tc>
      </w:tr>
    </w:tbl>
    <w:p>
      <w:r>
        <w:t>Why this matters to a Supplier Quality signature: Module 3.2.P.8 of APP-CN-AVI401-001 (sequence 0003) states that the secondary overwrap is "the oxygen-barrier member of the marketed pack" and names BF-51 (EVOH-32, OTR 2.4 at 23 °C / 65 % RH) as part of the control strategy for Impurity A, the avericin N-oxide. The same leaf reports Impurity A at 0.35 % at 18 months long-term on the larger presentation against a 0.50 % limit, and 0.46 % at accelerated 6 months, and states that a change to the primary bag, port or overwrap is assessed before implementation and is not authorised by that leaf. There is no comparative barrier study, no bridging assessment and no confirmation-lot strategy on file. AVT-CMC-041 lists R-01 (barrier below current system, Major) with "comparative barrier study" as the required control and its status as Open.</w:t>
      </w:r>
    </w:p>
    <w:p>
      <w:r>
        <w:t>If Supplier Quality signs qualification while R-01, R-02 and R-03 are Open, the signature becomes the record’s only statement that the material is acceptable — based on vendor literature that disclaims equivalence. That is the finding an inspector will write.</w:t>
      </w:r>
    </w:p>
    <w:p>
      <w:pPr>
        <w:pStyle w:val="Heading1"/>
      </w:pPr>
      <w:r>
        <w:t>6. Regulatory and commitment timing</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w:t>
            </w:r>
          </w:p>
        </w:tc>
        <w:tc>
          <w:tcPr>
            <w:tcW w:type="dxa" w:w="2880"/>
          </w:tcPr>
          <w:p>
            <w:r>
              <w:rPr>
                <w:b/>
              </w:rPr>
              <w:t>Fact on file</w:t>
            </w:r>
          </w:p>
        </w:tc>
        <w:tc>
          <w:tcPr>
            <w:tcW w:type="dxa" w:w="2880"/>
          </w:tcPr>
          <w:p>
            <w:r>
              <w:rPr>
                <w:b/>
              </w:rPr>
              <w:t>Exposure</w:t>
            </w:r>
          </w:p>
        </w:tc>
      </w:tr>
      <w:tr>
        <w:tc>
          <w:tcPr>
            <w:tcW w:type="dxa" w:w="2880"/>
          </w:tcPr>
          <w:p>
            <w:r>
              <w:t>R-1</w:t>
            </w:r>
          </w:p>
        </w:tc>
        <w:tc>
          <w:tcPr>
            <w:tcW w:type="dxa" w:w="2880"/>
          </w:tcPr>
          <w:p>
            <w:r>
              <w:t>CC-AVI401-017: Regulatory assessment "not_started" (RIM); Quality approval "not_requested"; Implementation "not_authorized".</w:t>
            </w:r>
          </w:p>
        </w:tc>
        <w:tc>
          <w:tcPr>
            <w:tcW w:type="dxa" w:w="2880"/>
          </w:tcPr>
          <w:p>
            <w:r>
              <w:t>Routing to Quality approval with the regulatory domain untouched conflicts with AVT-SOP-008 §3 (Quality and Regulatory impact assessed independently where both apply) and with the prerequisite list in AVT-CMC-041 §9.</w:t>
            </w:r>
          </w:p>
        </w:tc>
      </w:tr>
      <w:tr>
        <w:tc>
          <w:tcPr>
            <w:tcW w:type="dxa" w:w="2880"/>
          </w:tcPr>
          <w:p>
            <w:r>
              <w:t>R-2</w:t>
            </w:r>
          </w:p>
        </w:tc>
        <w:tc>
          <w:tcPr>
            <w:tcW w:type="dxa" w:w="2880"/>
          </w:tcPr>
          <w:p>
            <w:r>
              <w:t>Commitment COM-AVI401-008 is bound in the dossier to container system CCS-AVI401-02 and specification AVI401-SPEC-v03; stability study STB-AVI401-002 is bound to the current container-system identity in LIMS.</w:t>
            </w:r>
          </w:p>
        </w:tc>
        <w:tc>
          <w:tcPr>
            <w:tcW w:type="dxa" w:w="2880"/>
          </w:tcPr>
          <w:p>
            <w:r>
              <w:t>Risk R-06 (stability commitment loses traceability, Major) is Open. No LIMS or RIM linkage plan exists for a changed overwrap.</w:t>
            </w:r>
          </w:p>
        </w:tc>
      </w:tr>
      <w:tr>
        <w:tc>
          <w:tcPr>
            <w:tcW w:type="dxa" w:w="2880"/>
          </w:tcPr>
          <w:p>
            <w:r>
              <w:t>R-3</w:t>
            </w:r>
          </w:p>
        </w:tc>
        <w:tc>
          <w:tcPr>
            <w:tcW w:type="dxa" w:w="2880"/>
          </w:tcPr>
          <w:p>
            <w:r>
              <w:t>An authority information request, HA-AVI401-IR-2027-014, is open with a written response due 2027-03-20, and its item list includes "Overwrap oxygen transmission and headspace support"; the COM-AVI401-008 stability update is due 2027-04-30 (per the QC 24-month working control, revision 0.4, not yet QC-approved).</w:t>
            </w:r>
          </w:p>
        </w:tc>
        <w:tc>
          <w:tcPr>
            <w:tcW w:type="dxa" w:w="2880"/>
          </w:tcPr>
          <w:p>
            <w:r>
              <w:t>The site would be telling the authority that the current overwrap supports pack control while, in the same period, Supplier Quality signs off a film with 58 % higher OTR and no data. An inspector reading both records together will treat this as the most serious inconsistency in the file.</w:t>
            </w:r>
          </w:p>
        </w:tc>
      </w:tr>
      <w:tr>
        <w:tc>
          <w:tcPr>
            <w:tcW w:type="dxa" w:w="2880"/>
          </w:tcPr>
          <w:p>
            <w:r>
              <w:t>R-4</w:t>
            </w:r>
          </w:p>
        </w:tc>
        <w:tc>
          <w:tcPr>
            <w:tcW w:type="dxa" w:w="2880"/>
          </w:tcPr>
          <w:p>
            <w:r>
              <w:t>The dossier identifies AVI401-R03 as the 250 mL, worst-case oxidative presentation; the QC 24-month working control lists R02 as 250 mL and R03 as 500 mL.</w:t>
            </w:r>
          </w:p>
        </w:tc>
        <w:tc>
          <w:tcPr>
            <w:tcW w:type="dxa" w:w="2880"/>
          </w:tcPr>
          <w:p>
            <w:r>
              <w:t>The worst-case identity underpinning any barrier bridging argument is not consistent between records and must be resolved before it is relied on.</w:t>
            </w:r>
          </w:p>
        </w:tc>
      </w:tr>
    </w:tbl>
    <w:p>
      <w:pPr>
        <w:pStyle w:val="Heading1"/>
      </w:pPr>
      <w:r>
        <w:t>7. Supplier-quality history that will be pulled with this change</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w:t>
            </w:r>
          </w:p>
        </w:tc>
        <w:tc>
          <w:tcPr>
            <w:tcW w:type="dxa" w:w="2880"/>
          </w:tcPr>
          <w:p>
            <w:r>
              <w:rPr>
                <w:b/>
              </w:rPr>
              <w:t>Record</w:t>
            </w:r>
          </w:p>
        </w:tc>
        <w:tc>
          <w:tcPr>
            <w:tcW w:type="dxa" w:w="2880"/>
          </w:tcPr>
          <w:p>
            <w:r>
              <w:rPr>
                <w:b/>
              </w:rPr>
              <w:t>Why it is a problem in this context</w:t>
            </w:r>
          </w:p>
        </w:tc>
      </w:tr>
      <w:tr>
        <w:tc>
          <w:tcPr>
            <w:tcW w:type="dxa" w:w="2880"/>
          </w:tcPr>
          <w:p>
            <w:r>
              <w:t>H-1</w:t>
            </w:r>
          </w:p>
        </w:tc>
        <w:tc>
          <w:tcPr>
            <w:tcW w:type="dxa" w:w="2880"/>
          </w:tcPr>
          <w:p>
            <w:r>
              <w:t>CC-2025-002 "Addition of a second supplier for Secondary overwrap supplier", v1.0 Effective 2025-11-17, closed 2026-07-16; prepared S. Nguyen, reviewed R. Maartens, approved N. Brennan.</w:t>
            </w:r>
          </w:p>
        </w:tc>
        <w:tc>
          <w:tcPr>
            <w:tcW w:type="dxa" w:w="2880"/>
          </w:tcPr>
          <w:p>
            <w:r>
              <w:t>The record never names the supplier or the material, its three implementation actions are generic and marked Complete, and no second overwrap source appears in the supplier files — Ilyssa (SUP-008) remains the only one. An inspector will ask what was actually added and why the change was closed as complete, and the question lands on the reviewer’s signature. Its revision history also carries a single date stamp (11/07/26) that does not reconcile with the 2025-11-17 effective date.</w:t>
            </w:r>
          </w:p>
        </w:tc>
      </w:tr>
      <w:tr>
        <w:tc>
          <w:tcPr>
            <w:tcW w:type="dxa" w:w="2880"/>
          </w:tcPr>
          <w:p>
            <w:r>
              <w:t>H-2</w:t>
            </w:r>
          </w:p>
        </w:tc>
        <w:tc>
          <w:tcPr>
            <w:tcW w:type="dxa" w:w="2880"/>
          </w:tcPr>
          <w:p>
            <w:r>
              <w:t>CAPA-2023-002, "Incoming material received without the supplier certificate" (from DEV-2023-007), owner I. Krishnan, due 2023-12-16 — state Overdue.</w:t>
            </w:r>
          </w:p>
        </w:tc>
        <w:tc>
          <w:tcPr>
            <w:tcW w:type="dxa" w:w="2880"/>
          </w:tcPr>
          <w:p>
            <w:r>
              <w:t>A CAPA about missing supplier certificates has been overdue for three years while a new supplier is proposed whose qualification certificates are missing from the file. This pairing is very easy for an inspector to find and very hard to explain.</w:t>
            </w:r>
          </w:p>
        </w:tc>
      </w:tr>
      <w:tr>
        <w:tc>
          <w:tcPr>
            <w:tcW w:type="dxa" w:w="2880"/>
          </w:tcPr>
          <w:p>
            <w:r>
              <w:t>H-3</w:t>
            </w:r>
          </w:p>
        </w:tc>
        <w:tc>
          <w:tcPr>
            <w:tcW w:type="dxa" w:w="2880"/>
          </w:tcPr>
          <w:p>
            <w:r>
              <w:t>Open/overdue Supplier Quality actions: SUP-2026-01-01 and SUP-2026-01-02 Overdue at the 2026-11-07 review; SUP-2026-04-05 (owner R. Maartens) Open, due 2026-03-08; SUP-2026-03-05 (owner R. Maartens) Open, due 2026-06-14.</w:t>
            </w:r>
          </w:p>
        </w:tc>
        <w:tc>
          <w:tcPr>
            <w:tcW w:type="dxa" w:w="2880"/>
          </w:tcPr>
          <w:p>
            <w:r>
              <w:t>AVT-SOP-070 §10 requires missed due dates to be documented before expiry with risk, interim controls and revised date. No extension records are in the file. Supplier oversight capacity is visibly stretched before adding a new supplier.</w:t>
            </w:r>
          </w:p>
        </w:tc>
      </w:tr>
      <w:tr>
        <w:tc>
          <w:tcPr>
            <w:tcW w:type="dxa" w:w="2880"/>
          </w:tcPr>
          <w:p>
            <w:r>
              <w:t>H-4</w:t>
            </w:r>
          </w:p>
        </w:tc>
        <w:tc>
          <w:tcPr>
            <w:tcW w:type="dxa" w:w="2880"/>
          </w:tcPr>
          <w:p>
            <w:r>
              <w:t>Ilyssa AUD-2024-002 (audit 2024-03-18): one minor finding, deviation log missing closure dates for three entries, response due 2024-04-17.</w:t>
            </w:r>
          </w:p>
        </w:tc>
        <w:tc>
          <w:tcPr>
            <w:tcW w:type="dxa" w:w="2880"/>
          </w:tcPr>
          <w:p>
            <w:r>
              <w:t>No response, closure evidence or SCAR under AVT-SOP-069 is on file for the incumbent overwrap supplier. Continued approval in that report is expressly "subject to satisfactory closure of applicable findings".</w:t>
            </w:r>
          </w:p>
        </w:tc>
      </w:tr>
      <w:tr>
        <w:tc>
          <w:tcPr>
            <w:tcW w:type="dxa" w:w="2880"/>
          </w:tcPr>
          <w:p>
            <w:r>
              <w:t>H-5</w:t>
            </w:r>
          </w:p>
        </w:tc>
        <w:tc>
          <w:tcPr>
            <w:tcW w:type="dxa" w:w="2880"/>
          </w:tcPr>
          <w:p>
            <w:r>
              <w:t>Governing procedures: AVT-SOP-067 v2.0 (effective 2018-03-03) is reviewed and approved by the same person, R. Maartens; AVT-SOP-070 v4.0 (effective 2011-01-11) is prepared, reviewed and approved by one person and its revision history is out of chronological order (v2.0 dated 2006-05-09 after v1.0 dated 2008-06-13); AVT-SOP-008 v4.0 (effective 2012-04-11) is also signed three times by one person.</w:t>
            </w:r>
          </w:p>
        </w:tc>
        <w:tc>
          <w:tcPr>
            <w:tcW w:type="dxa" w:w="2880"/>
          </w:tcPr>
          <w:p>
            <w:r>
              <w:t>AVT-SOP-008 §3 states the process owner may not approve their own conclusion. Signing a qualification under procedures one approved oneself, with no periodic review for 9–16 years, converts a technical finding into a governance finding about segregation of duties.</w:t>
            </w:r>
          </w:p>
        </w:tc>
      </w:tr>
      <w:tr>
        <w:tc>
          <w:tcPr>
            <w:tcW w:type="dxa" w:w="2880"/>
          </w:tcPr>
          <w:p>
            <w:r>
              <w:t>H-6</w:t>
            </w:r>
          </w:p>
        </w:tc>
        <w:tc>
          <w:tcPr>
            <w:tcW w:type="dxa" w:w="2880"/>
          </w:tcPr>
          <w:p>
            <w:r>
              <w:t>Training: no completed curriculum record for the accountable Supplier Quality signer appears in the available training extracts (train_export_20260510.csv, TRAIN_data (13-05-2026).csv).</w:t>
            </w:r>
          </w:p>
        </w:tc>
        <w:tc>
          <w:tcPr>
            <w:tcW w:type="dxa" w:w="2880"/>
          </w:tcPr>
          <w:p>
            <w:r>
              <w:t>AVT-SOP-070 §12 requires role-based training before independent performance or approval. Current training status for AVT-SOP-067/068/070 should be confirmed in the training system before signature, since the extracts do not demonstrate it.</w:t>
            </w:r>
          </w:p>
        </w:tc>
      </w:tr>
    </w:tbl>
    <w:p>
      <w:pPr>
        <w:pStyle w:val="Heading1"/>
      </w:pPr>
      <w:r>
        <w:t>8. Evidence required before Supplier Quality can sign</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Ref</w:t>
            </w:r>
          </w:p>
        </w:tc>
        <w:tc>
          <w:tcPr>
            <w:tcW w:type="dxa" w:w="2160"/>
          </w:tcPr>
          <w:p>
            <w:r>
              <w:rPr>
                <w:b/>
              </w:rPr>
              <w:t>Evidence</w:t>
            </w:r>
          </w:p>
        </w:tc>
        <w:tc>
          <w:tcPr>
            <w:tcW w:type="dxa" w:w="2160"/>
          </w:tcPr>
          <w:p>
            <w:r>
              <w:rPr>
                <w:b/>
              </w:rPr>
              <w:t>Owner</w:t>
            </w:r>
          </w:p>
        </w:tc>
        <w:tc>
          <w:tcPr>
            <w:tcW w:type="dxa" w:w="2160"/>
          </w:tcPr>
          <w:p>
            <w:r>
              <w:rPr>
                <w:b/>
              </w:rPr>
              <w:t>Must exist as</w:t>
            </w:r>
          </w:p>
        </w:tc>
      </w:tr>
      <w:tr>
        <w:tc>
          <w:tcPr>
            <w:tcW w:type="dxa" w:w="2160"/>
          </w:tcPr>
          <w:p>
            <w:r>
              <w:t>E-01</w:t>
            </w:r>
          </w:p>
        </w:tc>
        <w:tc>
          <w:tcPr>
            <w:tcW w:type="dxa" w:w="2160"/>
          </w:tcPr>
          <w:p>
            <w:r>
              <w:t>Governed change record for CC-AVI401-017 created and reconciled to the Change Control Register, with the numbering anomaly explained or the change re-raised under site convention.</w:t>
            </w:r>
          </w:p>
        </w:tc>
        <w:tc>
          <w:tcPr>
            <w:tcW w:type="dxa" w:w="2160"/>
          </w:tcPr>
          <w:p>
            <w:r>
              <w:t>QA / Change owner</w:t>
            </w:r>
          </w:p>
        </w:tc>
        <w:tc>
          <w:tcPr>
            <w:tcW w:type="dxa" w:w="2160"/>
          </w:tcPr>
          <w:p>
            <w:r>
              <w:t>QMS record + register entry</w:t>
            </w:r>
          </w:p>
        </w:tc>
      </w:tr>
      <w:tr>
        <w:tc>
          <w:tcPr>
            <w:tcW w:type="dxa" w:w="2160"/>
          </w:tcPr>
          <w:p>
            <w:r>
              <w:t>E-02</w:t>
            </w:r>
          </w:p>
        </w:tc>
        <w:tc>
          <w:tcPr>
            <w:tcW w:type="dxa" w:w="2160"/>
          </w:tcPr>
          <w:p>
            <w:r>
              <w:t>Helion supplier master created with SUP identifier, legal entity, converting site(s), subcontractors and scope schedule.</w:t>
            </w:r>
          </w:p>
        </w:tc>
        <w:tc>
          <w:tcPr>
            <w:tcW w:type="dxa" w:w="2160"/>
          </w:tcPr>
          <w:p>
            <w:r>
              <w:t>Supplier Quality</w:t>
            </w:r>
          </w:p>
        </w:tc>
        <w:tc>
          <w:tcPr>
            <w:tcW w:type="dxa" w:w="2160"/>
          </w:tcPr>
          <w:p>
            <w:r>
              <w:t>Supplier quality management record / ERP</w:t>
            </w:r>
          </w:p>
        </w:tc>
      </w:tr>
      <w:tr>
        <w:tc>
          <w:tcPr>
            <w:tcW w:type="dxa" w:w="2160"/>
          </w:tcPr>
          <w:p>
            <w:r>
              <w:t>E-03</w:t>
            </w:r>
          </w:p>
        </w:tc>
        <w:tc>
          <w:tcPr>
            <w:tcW w:type="dxa" w:w="2160"/>
          </w:tcPr>
          <w:p>
            <w:r>
              <w:t>Documented risk classification for the supplier and for MAT-OWR-005 under AVT-SOP-006 / AVT-SOP-067.</w:t>
            </w:r>
          </w:p>
        </w:tc>
        <w:tc>
          <w:tcPr>
            <w:tcW w:type="dxa" w:w="2160"/>
          </w:tcPr>
          <w:p>
            <w:r>
              <w:t>Supplier Quality</w:t>
            </w:r>
          </w:p>
        </w:tc>
        <w:tc>
          <w:tcPr>
            <w:tcW w:type="dxa" w:w="2160"/>
          </w:tcPr>
          <w:p>
            <w:r>
              <w:t>Approved risk assessment</w:t>
            </w:r>
          </w:p>
        </w:tc>
      </w:tr>
      <w:tr>
        <w:tc>
          <w:tcPr>
            <w:tcW w:type="dxa" w:w="2160"/>
          </w:tcPr>
          <w:p>
            <w:r>
              <w:t>E-04</w:t>
            </w:r>
          </w:p>
        </w:tc>
        <w:tc>
          <w:tcPr>
            <w:tcW w:type="dxa" w:w="2160"/>
          </w:tcPr>
          <w:p>
            <w:r>
              <w:t>Audit of the named converting site (on-site, or an approved documented justification for an alternative approach) with findings, responses and closure evidence.</w:t>
            </w:r>
          </w:p>
        </w:tc>
        <w:tc>
          <w:tcPr>
            <w:tcW w:type="dxa" w:w="2160"/>
          </w:tcPr>
          <w:p>
            <w:r>
              <w:t>Supplier Quality</w:t>
            </w:r>
          </w:p>
        </w:tc>
        <w:tc>
          <w:tcPr>
            <w:tcW w:type="dxa" w:w="2160"/>
          </w:tcPr>
          <w:p>
            <w:r>
              <w:t>AUD report, approved</w:t>
            </w:r>
          </w:p>
        </w:tc>
      </w:tr>
      <w:tr>
        <w:tc>
          <w:tcPr>
            <w:tcW w:type="dxa" w:w="2160"/>
          </w:tcPr>
          <w:p>
            <w:r>
              <w:t>E-05</w:t>
            </w:r>
          </w:p>
        </w:tc>
        <w:tc>
          <w:tcPr>
            <w:tcW w:type="dxa" w:w="2160"/>
          </w:tcPr>
          <w:p>
            <w:r>
              <w:t>Executed quality agreement, including ≥ 90-day prior written change notification and prior-approval-before-shipment for this material, records/data-integrity and subcontractor clauses.</w:t>
            </w:r>
          </w:p>
        </w:tc>
        <w:tc>
          <w:tcPr>
            <w:tcW w:type="dxa" w:w="2160"/>
          </w:tcPr>
          <w:p>
            <w:r>
              <w:t>Supplier Quality / QA (AVT-SOP-013)</w:t>
            </w:r>
          </w:p>
        </w:tc>
        <w:tc>
          <w:tcPr>
            <w:tcW w:type="dxa" w:w="2160"/>
          </w:tcPr>
          <w:p>
            <w:r>
              <w:t>Effective AVT-QAG document</w:t>
            </w:r>
          </w:p>
        </w:tc>
      </w:tr>
      <w:tr>
        <w:tc>
          <w:tcPr>
            <w:tcW w:type="dxa" w:w="2160"/>
          </w:tcPr>
          <w:p>
            <w:r>
              <w:t>E-06</w:t>
            </w:r>
          </w:p>
        </w:tc>
        <w:tc>
          <w:tcPr>
            <w:tcW w:type="dxa" w:w="2160"/>
          </w:tcPr>
          <w:p>
            <w:r>
              <w:t>Approved incoming specification for MAT-OWR-005 under AVT-SOP-076, plus a sampling plan under AVT-SOP-068 with a justified initial (not reduced) regime and defined criteria for any later reduction.</w:t>
            </w:r>
          </w:p>
        </w:tc>
        <w:tc>
          <w:tcPr>
            <w:tcW w:type="dxa" w:w="2160"/>
          </w:tcPr>
          <w:p>
            <w:r>
              <w:t>Supplier Quality / QC</w:t>
            </w:r>
          </w:p>
        </w:tc>
        <w:tc>
          <w:tcPr>
            <w:tcW w:type="dxa" w:w="2160"/>
          </w:tcPr>
          <w:p>
            <w:r>
              <w:t>Effective specification + approved plan</w:t>
            </w:r>
          </w:p>
        </w:tc>
      </w:tr>
      <w:tr>
        <w:tc>
          <w:tcPr>
            <w:tcW w:type="dxa" w:w="2160"/>
          </w:tcPr>
          <w:p>
            <w:r>
              <w:t>E-07</w:t>
            </w:r>
          </w:p>
        </w:tc>
        <w:tc>
          <w:tcPr>
            <w:tcW w:type="dxa" w:w="2160"/>
          </w:tcPr>
          <w:p>
            <w:r>
              <w:t>Supplier documents obtained and filed: drawings HF-55-100-A and HF-55-250-A, qualification certificates for lots HFC-55-Q1 and HFC-55-Q2, and Havenor verification of the barrier and seal values by an independent or on-site method.</w:t>
            </w:r>
          </w:p>
        </w:tc>
        <w:tc>
          <w:tcPr>
            <w:tcW w:type="dxa" w:w="2160"/>
          </w:tcPr>
          <w:p>
            <w:r>
              <w:t>Supplier Quality / Packaging Engineering</w:t>
            </w:r>
          </w:p>
        </w:tc>
        <w:tc>
          <w:tcPr>
            <w:tcW w:type="dxa" w:w="2160"/>
          </w:tcPr>
          <w:p>
            <w:r>
              <w:t>Controlled supplier documents + Havenor test data</w:t>
            </w:r>
          </w:p>
        </w:tc>
      </w:tr>
      <w:tr>
        <w:tc>
          <w:tcPr>
            <w:tcW w:type="dxa" w:w="2160"/>
          </w:tcPr>
          <w:p>
            <w:r>
              <w:t>E-08</w:t>
            </w:r>
          </w:p>
        </w:tc>
        <w:tc>
          <w:tcPr>
            <w:tcW w:type="dxa" w:w="2160"/>
          </w:tcPr>
          <w:p>
            <w:r>
              <w:t>Comparative barrier assessment against BF-51 and a seal-window qualification covering the 135–152 °C overlap, closing R-01, R-02 and R-03.</w:t>
            </w:r>
          </w:p>
        </w:tc>
        <w:tc>
          <w:tcPr>
            <w:tcW w:type="dxa" w:w="2160"/>
          </w:tcPr>
          <w:p>
            <w:r>
              <w:t>Packaging Engineering / Validation</w:t>
            </w:r>
          </w:p>
        </w:tc>
        <w:tc>
          <w:tcPr>
            <w:tcW w:type="dxa" w:w="2160"/>
          </w:tcPr>
          <w:p>
            <w:r>
              <w:t>Approved protocol and report</w:t>
            </w:r>
          </w:p>
        </w:tc>
      </w:tr>
      <w:tr>
        <w:tc>
          <w:tcPr>
            <w:tcW w:type="dxa" w:w="2160"/>
          </w:tcPr>
          <w:p>
            <w:r>
              <w:t>E-09</w:t>
            </w:r>
          </w:p>
        </w:tc>
        <w:tc>
          <w:tcPr>
            <w:tcW w:type="dxa" w:w="2160"/>
          </w:tcPr>
          <w:p>
            <w:r>
              <w:t>Regulatory CMC assessment recorded in RIM, including reporting category, the impact on COM-AVI401-008 and consistency with the response to HA-AVI401-IR-2027-014, plus the stability bridging and confirmation-lot strategy in LIMS.</w:t>
            </w:r>
          </w:p>
        </w:tc>
        <w:tc>
          <w:tcPr>
            <w:tcW w:type="dxa" w:w="2160"/>
          </w:tcPr>
          <w:p>
            <w:r>
              <w:t>Regulatory CMC / QC Stability</w:t>
            </w:r>
          </w:p>
        </w:tc>
        <w:tc>
          <w:tcPr>
            <w:tcW w:type="dxa" w:w="2160"/>
          </w:tcPr>
          <w:p>
            <w:r>
              <w:t>RIM assessment + approved stability strategy</w:t>
            </w:r>
          </w:p>
        </w:tc>
      </w:tr>
    </w:tbl>
    <w:p>
      <w:pPr>
        <w:pStyle w:val="Heading1"/>
      </w:pPr>
      <w:r>
        <w:t>9. Suggested wording if a signature is pressed for now</w:t>
      </w:r>
    </w:p>
    <w:p>
      <w:r>
        <w:t>"Supplier Quality has reviewed the available record for the proposed alternate overwrap source. Helion Film Converting is not a qualified supplier: no supplier master, risk classification, audit, quality agreement, incoming specification, sampling plan, drawing or certificate exists on 2027-02-08. The only supplier evidence on file is notification HFC-QN-2026-074, which documents higher oxygen transmission than the registered BF-51 film and expressly declines to claim equivalence. Supplier qualification is therefore recorded as Open, evidence outstanding (see E-01 to E-09). This entry is not supplier approval and does not support Quality approval, ERP/MES effectivity or any purchase of MAT-OWR-005."</w:t>
      </w:r>
    </w:p>
    <w:p>
      <w:pPr>
        <w:pStyle w:val="Heading1"/>
      </w:pPr>
      <w:r>
        <w:t>10. Limitations of this note</w:t>
      </w:r>
    </w:p>
    <w:p>
      <w:r>
        <w:t>This is an unapproved working note prepared from the documents listed in section 1. Authoritative states remain in QMS (change and quality decisions), ERP (material and supplier status), DMS (effective documents), LIMS (stability), RIM (commitments and regulatory assessment) and MES (production execution). Nothing here alters those states, and no conclusion in it may be used in place of a controlled record. Statements about training status and about the absence of audit, agreement and certificate records reflect what is retrievable in the reviewed file set and should be confirmed against the source systems before the gaps are formally recorded.</w:t>
      </w:r>
    </w:p>
    <w:p>
      <w:pPr>
        <w:pStyle w:val="Heading1"/>
      </w:pPr>
      <w:r>
        <w:t>Approval</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Role</w:t>
            </w:r>
          </w:p>
        </w:tc>
        <w:tc>
          <w:tcPr>
            <w:tcW w:type="dxa" w:w="2160"/>
          </w:tcPr>
          <w:p>
            <w:r>
              <w:rPr>
                <w:b/>
              </w:rPr>
              <w:t>Name</w:t>
            </w:r>
          </w:p>
        </w:tc>
        <w:tc>
          <w:tcPr>
            <w:tcW w:type="dxa" w:w="2160"/>
          </w:tcPr>
          <w:p>
            <w:r>
              <w:rPr>
                <w:b/>
              </w:rPr>
              <w:t>Title</w:t>
            </w:r>
          </w:p>
        </w:tc>
        <w:tc>
          <w:tcPr>
            <w:tcW w:type="dxa" w:w="2160"/>
          </w:tcPr>
          <w:p>
            <w:r>
              <w:rPr>
                <w:b/>
              </w:rPr>
              <w:t>Signature / date</w:t>
            </w:r>
          </w:p>
        </w:tc>
      </w:tr>
      <w:tr>
        <w:tc>
          <w:tcPr>
            <w:tcW w:type="dxa" w:w="2160"/>
          </w:tcPr>
          <w:p>
            <w:r>
              <w:t>Prepared by</w:t>
            </w:r>
          </w:p>
        </w:tc>
        <w:tc>
          <w:tcPr>
            <w:tcW w:type="dxa" w:w="2160"/>
          </w:tcPr>
          <w:p>
            <w:r>
              <w:t>Ravi Maartens</w:t>
            </w:r>
          </w:p>
        </w:tc>
        <w:tc>
          <w:tcPr>
            <w:tcW w:type="dxa" w:w="2160"/>
          </w:tcPr>
          <w:p>
            <w:r>
              <w:t>Supplier Quality Manager</w:t>
            </w:r>
          </w:p>
        </w:tc>
        <w:tc>
          <w:tcPr>
            <w:tcW w:type="dxa" w:w="2160"/>
          </w:tcPr>
          <w:p>
            <w:r>
              <w:t>(working note — unsigned)</w:t>
            </w:r>
          </w:p>
        </w:tc>
      </w:tr>
      <w:tr>
        <w:tc>
          <w:tcPr>
            <w:tcW w:type="dxa" w:w="2160"/>
          </w:tcPr>
          <w:p>
            <w:r>
              <w:t>Reviewed by</w:t>
            </w:r>
          </w:p>
        </w:tc>
        <w:tc>
          <w:tcPr>
            <w:tcW w:type="dxa" w:w="2160"/>
          </w:tcPr>
          <w:p>
            <w:r>
              <w:t>(pending)</w:t>
            </w:r>
          </w:p>
        </w:tc>
        <w:tc>
          <w:tcPr>
            <w:tcW w:type="dxa" w:w="2160"/>
          </w:tcPr>
          <w:p>
            <w:r>
              <w:t>QA Product Lead</w:t>
            </w:r>
          </w:p>
        </w:tc>
        <w:tc>
          <w:tcPr>
            <w:tcW w:type="dxa" w:w="2160"/>
          </w:tcPr>
          <w:p>
            <w:r>
              <w:t>(not applicable to a working note)</w:t>
            </w:r>
          </w:p>
        </w:tc>
      </w:tr>
      <w:tr>
        <w:tc>
          <w:tcPr>
            <w:tcW w:type="dxa" w:w="2160"/>
          </w:tcPr>
          <w:p>
            <w:r>
              <w:t>Approved by</w:t>
            </w:r>
          </w:p>
        </w:tc>
        <w:tc>
          <w:tcPr>
            <w:tcW w:type="dxa" w:w="2160"/>
          </w:tcPr>
          <w:p>
            <w:r>
              <w:t>(pending)</w:t>
            </w:r>
          </w:p>
        </w:tc>
        <w:tc>
          <w:tcPr>
            <w:tcW w:type="dxa" w:w="2160"/>
          </w:tcPr>
          <w:p>
            <w:r>
              <w:t>QA Product Lead</w:t>
            </w:r>
          </w:p>
        </w:tc>
        <w:tc>
          <w:tcPr>
            <w:tcW w:type="dxa" w:w="2160"/>
          </w:tcPr>
          <w:p>
            <w:r>
              <w:t>(not applicable to a working note)</w:t>
            </w:r>
          </w:p>
        </w:tc>
      </w:tr>
    </w:tbl>
    <w:p>
      <w:pPr>
        <w:pStyle w:val="Heading1"/>
      </w:pPr>
      <w:r>
        <w:t>Revision history</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Version</w:t>
            </w:r>
          </w:p>
        </w:tc>
        <w:tc>
          <w:tcPr>
            <w:tcW w:type="dxa" w:w="2160"/>
          </w:tcPr>
          <w:p>
            <w:r>
              <w:rPr>
                <w:b/>
              </w:rPr>
              <w:t>Date</w:t>
            </w:r>
          </w:p>
        </w:tc>
        <w:tc>
          <w:tcPr>
            <w:tcW w:type="dxa" w:w="2160"/>
          </w:tcPr>
          <w:p>
            <w:r>
              <w:rPr>
                <w:b/>
              </w:rPr>
              <w:t>Author</w:t>
            </w:r>
          </w:p>
        </w:tc>
        <w:tc>
          <w:tcPr>
            <w:tcW w:type="dxa" w:w="2160"/>
          </w:tcPr>
          <w:p>
            <w:r>
              <w:rPr>
                <w:b/>
              </w:rPr>
              <w:t>Change</w:t>
            </w:r>
          </w:p>
        </w:tc>
      </w:tr>
      <w:tr>
        <w:tc>
          <w:tcPr>
            <w:tcW w:type="dxa" w:w="2160"/>
          </w:tcPr>
          <w:p>
            <w:r>
              <w:t>00</w:t>
            </w:r>
          </w:p>
        </w:tc>
        <w:tc>
          <w:tcPr>
            <w:tcW w:type="dxa" w:w="2160"/>
          </w:tcPr>
          <w:p>
            <w:r>
              <w:t>2027-02-08</w:t>
            </w:r>
          </w:p>
        </w:tc>
        <w:tc>
          <w:tcPr>
            <w:tcW w:type="dxa" w:w="2160"/>
          </w:tcPr>
          <w:p>
            <w:r>
              <w:t>Ravi Maartens</w:t>
            </w:r>
          </w:p>
        </w:tc>
        <w:tc>
          <w:tcPr>
            <w:tcW w:type="dxa" w:w="2160"/>
          </w:tcPr>
          <w:p>
            <w:r>
              <w:t>Initial working note — pre-signature review of CC-AVI401-017 and the Helion supplier record.</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