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AVI-401 Container-Closure Validation Package — Records Check Before the Authority Working Session</w:t>
      </w:r>
    </w:p>
    <w:p>
      <w:r>
        <w:rPr>
          <w:b/>
          <w:i w:val="0"/>
        </w:rPr>
        <w:t>Prepared for: Jae (authority working session file)</w:t>
      </w:r>
    </w:p>
    <w:p>
      <w:r>
        <w:rPr>
          <w:b w:val="0"/>
          <w:i w:val="0"/>
        </w:rPr>
        <w:t>Prepared by: Asha Morgan, Validation Engineer (working document — not a controlled quality record)</w:t>
      </w:r>
    </w:p>
    <w:p>
      <w:r>
        <w:rPr>
          <w:b w:val="0"/>
          <w:i w:val="0"/>
        </w:rPr>
        <w:t>Scope: what in the AVI-401 container-closure validation package, as currently filed, would not stand if a reviewer examined the underlying records.</w:t>
      </w:r>
    </w:p>
    <w:p>
      <w:r>
        <w:rPr>
          <w:b w:val="0"/>
          <w:i/>
        </w:rPr>
        <w:t>Status: working note. Nothing below is a Quality disposition. Where a defect is stated, the evidence examined is named so it can be verified in the authoritative system before the session.</w:t>
      </w:r>
    </w:p>
    <w:p>
      <w:pPr>
        <w:pStyle w:val="Heading1"/>
      </w:pPr>
      <w:r>
        <w:t>1. What the package consists of, as filed</w:t>
      </w:r>
    </w:p>
    <w:p>
      <w:r>
        <w:rPr>
          <w:b w:val="0"/>
          <w:i w:val="0"/>
        </w:rPr>
        <w:t>The controlled index (AVT-MFG-PCS-012, Manufacturing/Process Controls/AVI401_Filter_Container_Control_Summary.pdf) lists seven approved validations for process AVI401-PROC-v04, filter train FT-AVI401-02 and container system CCS-AVI401-02:</w:t>
      </w:r>
    </w:p>
    <w:tbl>
      <w:tblPr>
        <w:tblStyle w:val="TableGrid"/>
        <w:tblW w:type="auto" w:w="0"/>
        <w:tblLook w:firstColumn="1" w:firstRow="1" w:lastColumn="0" w:lastRow="0" w:noHBand="0" w:noVBand="1" w:val="04A0"/>
      </w:tblPr>
      <w:tblGrid>
        <w:gridCol w:w="2160"/>
        <w:gridCol w:w="2160"/>
        <w:gridCol w:w="2160"/>
        <w:gridCol w:w="2160"/>
      </w:tblGrid>
      <w:tr>
        <w:tc>
          <w:tcPr>
            <w:tcW w:type="dxa" w:w="1814"/>
          </w:tcPr>
          <w:p>
            <w:r>
              <w:rPr>
                <w:sz w:val="19"/>
              </w:rPr>
            </w:r>
            <w:r>
              <w:rPr>
                <w:b/>
              </w:rPr>
              <w:t>Validation ID</w:t>
            </w:r>
          </w:p>
        </w:tc>
        <w:tc>
          <w:tcPr>
            <w:tcW w:type="dxa" w:w="1247"/>
          </w:tcPr>
          <w:p>
            <w:r>
              <w:rPr>
                <w:sz w:val="19"/>
              </w:rPr>
            </w:r>
            <w:r>
              <w:rPr>
                <w:b/>
              </w:rPr>
              <w:t>Report</w:t>
            </w:r>
          </w:p>
        </w:tc>
        <w:tc>
          <w:tcPr>
            <w:tcW w:type="dxa" w:w="2835"/>
          </w:tcPr>
          <w:p>
            <w:r>
              <w:rPr>
                <w:sz w:val="19"/>
              </w:rPr>
            </w:r>
            <w:r>
              <w:rPr>
                <w:b/>
              </w:rPr>
              <w:t>Subject</w:t>
            </w:r>
          </w:p>
        </w:tc>
        <w:tc>
          <w:tcPr>
            <w:tcW w:type="dxa" w:w="3402"/>
          </w:tcPr>
          <w:p>
            <w:r>
              <w:rPr>
                <w:sz w:val="19"/>
              </w:rPr>
            </w:r>
            <w:r>
              <w:rPr>
                <w:b/>
              </w:rPr>
              <w:t>What is physically on file</w:t>
            </w:r>
          </w:p>
        </w:tc>
      </w:tr>
      <w:tr>
        <w:tc>
          <w:tcPr>
            <w:tcW w:type="dxa" w:w="1814"/>
          </w:tcPr>
          <w:p>
            <w:r/>
            <w:r>
              <w:rPr>
                <w:sz w:val="19"/>
              </w:rPr>
              <w:t>VAL-FLT-CHEM-004</w:t>
            </w:r>
          </w:p>
        </w:tc>
        <w:tc>
          <w:tcPr>
            <w:tcW w:type="dxa" w:w="1247"/>
          </w:tcPr>
          <w:p>
            <w:r/>
            <w:r>
              <w:rPr>
                <w:sz w:val="19"/>
              </w:rPr>
              <w:t>AVT-VAL-104</w:t>
            </w:r>
          </w:p>
        </w:tc>
        <w:tc>
          <w:tcPr>
            <w:tcW w:type="dxa" w:w="2835"/>
          </w:tcPr>
          <w:p>
            <w:r/>
            <w:r>
              <w:rPr>
                <w:sz w:val="19"/>
              </w:rPr>
              <w:t>Filter chemical compatibility</w:t>
            </w:r>
          </w:p>
        </w:tc>
        <w:tc>
          <w:tcPr>
            <w:tcW w:type="dxa" w:w="3402"/>
          </w:tcPr>
          <w:p>
            <w:r/>
            <w:r>
              <w:rPr>
                <w:sz w:val="19"/>
              </w:rPr>
              <w:t>Report + protocol (PDF and DOCX) + executed copy 003</w:t>
            </w:r>
          </w:p>
        </w:tc>
      </w:tr>
      <w:tr>
        <w:tc>
          <w:tcPr>
            <w:tcW w:type="dxa" w:w="1814"/>
          </w:tcPr>
          <w:p>
            <w:r/>
            <w:r>
              <w:rPr>
                <w:sz w:val="19"/>
              </w:rPr>
              <w:t>VAL-FLT-EXT-003</w:t>
            </w:r>
          </w:p>
        </w:tc>
        <w:tc>
          <w:tcPr>
            <w:tcW w:type="dxa" w:w="1247"/>
          </w:tcPr>
          <w:p>
            <w:r/>
            <w:r>
              <w:rPr>
                <w:sz w:val="19"/>
              </w:rPr>
              <w:t>AVT-VAL-105</w:t>
            </w:r>
          </w:p>
        </w:tc>
        <w:tc>
          <w:tcPr>
            <w:tcW w:type="dxa" w:w="2835"/>
          </w:tcPr>
          <w:p>
            <w:r/>
            <w:r>
              <w:rPr>
                <w:sz w:val="19"/>
              </w:rPr>
              <w:t>Filter extractables/leachables</w:t>
            </w:r>
          </w:p>
        </w:tc>
        <w:tc>
          <w:tcPr>
            <w:tcW w:type="dxa" w:w="3402"/>
          </w:tcPr>
          <w:p>
            <w:r/>
            <w:r>
              <w:rPr>
                <w:sz w:val="19"/>
              </w:rPr>
              <w:t>Report + protocol (PDF and DOCX) + executed copy 003</w:t>
            </w:r>
          </w:p>
        </w:tc>
      </w:tr>
      <w:tr>
        <w:tc>
          <w:tcPr>
            <w:tcW w:type="dxa" w:w="1814"/>
          </w:tcPr>
          <w:p>
            <w:r/>
            <w:r>
              <w:rPr>
                <w:sz w:val="19"/>
              </w:rPr>
              <w:t>VAL-FLT-WIT-006</w:t>
            </w:r>
          </w:p>
        </w:tc>
        <w:tc>
          <w:tcPr>
            <w:tcW w:type="dxa" w:w="1247"/>
          </w:tcPr>
          <w:p>
            <w:r/>
            <w:r>
              <w:rPr>
                <w:sz w:val="19"/>
              </w:rPr>
              <w:t>AVT-VAL-106</w:t>
            </w:r>
          </w:p>
        </w:tc>
        <w:tc>
          <w:tcPr>
            <w:tcW w:type="dxa" w:w="2835"/>
          </w:tcPr>
          <w:p>
            <w:r/>
            <w:r>
              <w:rPr>
                <w:sz w:val="19"/>
              </w:rPr>
              <w:t>Filter wetting and integrity</w:t>
            </w:r>
          </w:p>
        </w:tc>
        <w:tc>
          <w:tcPr>
            <w:tcW w:type="dxa" w:w="3402"/>
          </w:tcPr>
          <w:p>
            <w:r/>
            <w:r>
              <w:rPr>
                <w:sz w:val="19"/>
              </w:rPr>
              <w:t>Report + protocol (PDF and DOCX) + executed copy 003</w:t>
            </w:r>
          </w:p>
        </w:tc>
      </w:tr>
      <w:tr>
        <w:tc>
          <w:tcPr>
            <w:tcW w:type="dxa" w:w="1814"/>
          </w:tcPr>
          <w:p>
            <w:r/>
            <w:r>
              <w:rPr>
                <w:sz w:val="19"/>
              </w:rPr>
              <w:t>VAL-FLT-BRT-002</w:t>
            </w:r>
          </w:p>
        </w:tc>
        <w:tc>
          <w:tcPr>
            <w:tcW w:type="dxa" w:w="1247"/>
          </w:tcPr>
          <w:p>
            <w:r/>
            <w:r>
              <w:rPr>
                <w:sz w:val="19"/>
              </w:rPr>
              <w:t>AVT-VAL-107</w:t>
            </w:r>
          </w:p>
        </w:tc>
        <w:tc>
          <w:tcPr>
            <w:tcW w:type="dxa" w:w="2835"/>
          </w:tcPr>
          <w:p>
            <w:r/>
            <w:r>
              <w:rPr>
                <w:sz w:val="19"/>
              </w:rPr>
              <w:t>Bacterial retention</w:t>
            </w:r>
          </w:p>
        </w:tc>
        <w:tc>
          <w:tcPr>
            <w:tcW w:type="dxa" w:w="3402"/>
          </w:tcPr>
          <w:p>
            <w:r/>
            <w:r>
              <w:rPr>
                <w:sz w:val="19"/>
              </w:rPr>
              <w:t>Report + protocol (PDF and DOCX) + executed copy 003</w:t>
            </w:r>
          </w:p>
        </w:tc>
      </w:tr>
      <w:tr>
        <w:tc>
          <w:tcPr>
            <w:tcW w:type="dxa" w:w="1814"/>
          </w:tcPr>
          <w:p>
            <w:r/>
            <w:r>
              <w:rPr>
                <w:sz w:val="19"/>
              </w:rPr>
              <w:t>VAL-CCS-COMP-005</w:t>
            </w:r>
          </w:p>
        </w:tc>
        <w:tc>
          <w:tcPr>
            <w:tcW w:type="dxa" w:w="1247"/>
          </w:tcPr>
          <w:p>
            <w:r/>
            <w:r>
              <w:rPr>
                <w:sz w:val="19"/>
              </w:rPr>
              <w:t>AVT-VAL-201</w:t>
            </w:r>
          </w:p>
        </w:tc>
        <w:tc>
          <w:tcPr>
            <w:tcW w:type="dxa" w:w="2835"/>
          </w:tcPr>
          <w:p>
            <w:r/>
            <w:r>
              <w:rPr>
                <w:sz w:val="19"/>
              </w:rPr>
              <w:t>Flexible container compatibility</w:t>
            </w:r>
          </w:p>
        </w:tc>
        <w:tc>
          <w:tcPr>
            <w:tcW w:type="dxa" w:w="3402"/>
          </w:tcPr>
          <w:p>
            <w:r/>
            <w:r>
              <w:rPr>
                <w:sz w:val="19"/>
              </w:rPr>
              <w:t>Report only</w:t>
            </w:r>
          </w:p>
        </w:tc>
      </w:tr>
      <w:tr>
        <w:tc>
          <w:tcPr>
            <w:tcW w:type="dxa" w:w="1814"/>
          </w:tcPr>
          <w:p>
            <w:r/>
            <w:r>
              <w:rPr>
                <w:sz w:val="19"/>
              </w:rPr>
              <w:t>VAL-CCS-SEAL-007</w:t>
            </w:r>
          </w:p>
        </w:tc>
        <w:tc>
          <w:tcPr>
            <w:tcW w:type="dxa" w:w="1247"/>
          </w:tcPr>
          <w:p>
            <w:r/>
            <w:r>
              <w:rPr>
                <w:sz w:val="19"/>
              </w:rPr>
              <w:t>AVT-VAL-202</w:t>
            </w:r>
          </w:p>
        </w:tc>
        <w:tc>
          <w:tcPr>
            <w:tcW w:type="dxa" w:w="2835"/>
          </w:tcPr>
          <w:p>
            <w:r/>
            <w:r>
              <w:rPr>
                <w:sz w:val="19"/>
              </w:rPr>
              <w:t>Container closure seal integrity</w:t>
            </w:r>
          </w:p>
        </w:tc>
        <w:tc>
          <w:tcPr>
            <w:tcW w:type="dxa" w:w="3402"/>
          </w:tcPr>
          <w:p>
            <w:r/>
            <w:r>
              <w:rPr>
                <w:sz w:val="19"/>
              </w:rPr>
              <w:t>Report only</w:t>
            </w:r>
          </w:p>
        </w:tc>
      </w:tr>
      <w:tr>
        <w:tc>
          <w:tcPr>
            <w:tcW w:type="dxa" w:w="1814"/>
          </w:tcPr>
          <w:p>
            <w:r/>
            <w:r>
              <w:rPr>
                <w:sz w:val="19"/>
              </w:rPr>
              <w:t>VAL-CCS-ADMIN-003</w:t>
            </w:r>
          </w:p>
        </w:tc>
        <w:tc>
          <w:tcPr>
            <w:tcW w:type="dxa" w:w="1247"/>
          </w:tcPr>
          <w:p>
            <w:r/>
            <w:r>
              <w:rPr>
                <w:sz w:val="19"/>
              </w:rPr>
              <w:t>AVT-VAL-203</w:t>
            </w:r>
          </w:p>
        </w:tc>
        <w:tc>
          <w:tcPr>
            <w:tcW w:type="dxa" w:w="2835"/>
          </w:tcPr>
          <w:p>
            <w:r/>
            <w:r>
              <w:rPr>
                <w:sz w:val="19"/>
              </w:rPr>
              <w:t>Administration set compatibility</w:t>
            </w:r>
          </w:p>
        </w:tc>
        <w:tc>
          <w:tcPr>
            <w:tcW w:type="dxa" w:w="3402"/>
          </w:tcPr>
          <w:p>
            <w:r/>
            <w:r>
              <w:rPr>
                <w:sz w:val="19"/>
              </w:rPr>
              <w:t>Report only</w:t>
            </w:r>
          </w:p>
        </w:tc>
      </w:tr>
    </w:tbl>
    <w:p>
      <w:r>
        <w:rPr>
          <w:b/>
          <w:i w:val="0"/>
        </w:rPr>
        <w:t>The three container-closure studies — the part of the package the session is actually about — are present as approved summary reports and nothing else. The four filter studies are the only ones with a protocol and an executed record behind them.</w:t>
      </w:r>
    </w:p>
    <w:p>
      <w:pPr>
        <w:pStyle w:val="Heading1"/>
      </w:pPr>
      <w:r>
        <w:t>2. Findings that would not stand under examination</w:t>
      </w:r>
    </w:p>
    <w:p>
      <w:pPr>
        <w:pStyle w:val="Heading2"/>
      </w:pPr>
      <w:r>
        <w:t>2.1 The three CCS studies have no protocol and no executed record on file</w:t>
      </w:r>
    </w:p>
    <w:p>
      <w:r>
        <w:rPr>
          <w:b w:val="0"/>
          <w:i w:val="0"/>
        </w:rPr>
        <w:t>Each of AVT-VAL-201/202/203 states in section 3: "The approved protocol defined replicates, sampling points, method versions, system suitability, positive and negative controls, pre-established acceptance criteria and handling of deviations." No such protocol exists in Validation/AVI-401 Filter and Container/Protocols — that folder holds only AVT-VAL-104-P through 107-P. The Executed Protocols folder likewise holds only 104-P through 107-P (Executed Copy 003).</w:t>
      </w:r>
    </w:p>
    <w:p>
      <w:r>
        <w:rPr>
          <w:b w:val="0"/>
          <w:i w:val="0"/>
        </w:rPr>
        <w:t>Section 4 of each report says native data "remain in the linked laboratory and validation records", but no protocol number, notebook, LIMS study or raw-data locator is given anywhere in the three reports.</w:t>
      </w:r>
    </w:p>
    <w:p>
      <w:r>
        <w:rPr>
          <w:b/>
          <w:i w:val="0"/>
        </w:rPr>
        <w:t>Consequence: the pre-established criteria, the replicate design, the method versions and the reviewer identity for the container-closure claims cannot be verified at all. AVT-SOP-050 §11 requires the minimum record to comprise requirement, protocol step, objective evidence, exception, reviewer and final conclusion; §8 requires the independent reviewer to verify source evidence against the approved plan. On what is filed, that verification cannot be reproduced. This is the first request a reviewer will make and the first one we cannot answer.</w:t>
      </w:r>
    </w:p>
    <w:p>
      <w:pPr>
        <w:pStyle w:val="Heading2"/>
      </w:pPr>
      <w:r>
        <w:t>2.2 The three CCS reports contain identical reportable data</w:t>
      </w:r>
    </w:p>
    <w:p>
      <w:r>
        <w:rPr>
          <w:b w:val="0"/>
          <w:i w:val="0"/>
        </w:rPr>
        <w:t>AVT-VAL-201 (container compatibility), AVT-VAL-202 (seal integrity) and AVT-VAL-203 (administration set compatibility) report, in section 4, the same numbers:</w:t>
      </w:r>
    </w:p>
    <w:tbl>
      <w:tblPr>
        <w:tblStyle w:val="TableGrid"/>
        <w:tblW w:type="auto" w:w="0"/>
        <w:tblLook w:firstColumn="1" w:firstRow="1" w:lastColumn="0" w:lastRow="0" w:noHBand="0" w:noVBand="1" w:val="04A0"/>
      </w:tblPr>
      <w:tblGrid>
        <w:gridCol w:w="2160"/>
        <w:gridCol w:w="2160"/>
        <w:gridCol w:w="2160"/>
        <w:gridCol w:w="2160"/>
      </w:tblGrid>
      <w:tr>
        <w:tc>
          <w:tcPr>
            <w:tcW w:type="dxa" w:w="2551"/>
          </w:tcPr>
          <w:p>
            <w:r>
              <w:rPr>
                <w:sz w:val="19"/>
              </w:rPr>
            </w:r>
            <w:r>
              <w:rPr>
                <w:b/>
              </w:rPr>
              <w:t>Parameter</w:t>
            </w:r>
          </w:p>
        </w:tc>
        <w:tc>
          <w:tcPr>
            <w:tcW w:type="dxa" w:w="1984"/>
          </w:tcPr>
          <w:p>
            <w:r>
              <w:rPr>
                <w:sz w:val="19"/>
              </w:rPr>
            </w:r>
            <w:r>
              <w:rPr>
                <w:b/>
              </w:rPr>
              <w:t>Initial</w:t>
            </w:r>
          </w:p>
        </w:tc>
        <w:tc>
          <w:tcPr>
            <w:tcW w:type="dxa" w:w="1984"/>
          </w:tcPr>
          <w:p>
            <w:r>
              <w:rPr>
                <w:sz w:val="19"/>
              </w:rPr>
            </w:r>
            <w:r>
              <w:rPr>
                <w:b/>
              </w:rPr>
              <w:t>Challenge result</w:t>
            </w:r>
          </w:p>
        </w:tc>
        <w:tc>
          <w:tcPr>
            <w:tcW w:type="dxa" w:w="2835"/>
          </w:tcPr>
          <w:p>
            <w:r>
              <w:rPr>
                <w:sz w:val="19"/>
              </w:rPr>
            </w:r>
            <w:r>
              <w:rPr>
                <w:b/>
              </w:rPr>
              <w:t>Criterion</w:t>
            </w:r>
          </w:p>
        </w:tc>
      </w:tr>
      <w:tr>
        <w:tc>
          <w:tcPr>
            <w:tcW w:type="dxa" w:w="2551"/>
          </w:tcPr>
          <w:p>
            <w:r/>
            <w:r>
              <w:rPr>
                <w:sz w:val="19"/>
              </w:rPr>
              <w:t>Assay</w:t>
            </w:r>
          </w:p>
        </w:tc>
        <w:tc>
          <w:tcPr>
            <w:tcW w:type="dxa" w:w="1984"/>
          </w:tcPr>
          <w:p>
            <w:r/>
            <w:r>
              <w:rPr>
                <w:sz w:val="19"/>
              </w:rPr>
              <w:t>100.1 %</w:t>
            </w:r>
          </w:p>
        </w:tc>
        <w:tc>
          <w:tcPr>
            <w:tcW w:type="dxa" w:w="1984"/>
          </w:tcPr>
          <w:p>
            <w:r/>
            <w:r>
              <w:rPr>
                <w:sz w:val="19"/>
              </w:rPr>
              <w:t>99.8 %</w:t>
            </w:r>
          </w:p>
        </w:tc>
        <w:tc>
          <w:tcPr>
            <w:tcW w:type="dxa" w:w="2835"/>
          </w:tcPr>
          <w:p>
            <w:r/>
            <w:r>
              <w:rPr>
                <w:sz w:val="19"/>
              </w:rPr>
              <w:t>Difference NMT 2.0 %</w:t>
            </w:r>
          </w:p>
        </w:tc>
      </w:tr>
      <w:tr>
        <w:tc>
          <w:tcPr>
            <w:tcW w:type="dxa" w:w="2551"/>
          </w:tcPr>
          <w:p>
            <w:r/>
            <w:r>
              <w:rPr>
                <w:sz w:val="19"/>
              </w:rPr>
              <w:t>Total impurities</w:t>
            </w:r>
          </w:p>
        </w:tc>
        <w:tc>
          <w:tcPr>
            <w:tcW w:type="dxa" w:w="1984"/>
          </w:tcPr>
          <w:p>
            <w:r/>
            <w:r>
              <w:rPr>
                <w:sz w:val="19"/>
              </w:rPr>
              <w:t>0.18 %</w:t>
            </w:r>
          </w:p>
        </w:tc>
        <w:tc>
          <w:tcPr>
            <w:tcW w:type="dxa" w:w="1984"/>
          </w:tcPr>
          <w:p>
            <w:r/>
            <w:r>
              <w:rPr>
                <w:sz w:val="19"/>
              </w:rPr>
              <w:t>0.24 %</w:t>
            </w:r>
          </w:p>
        </w:tc>
        <w:tc>
          <w:tcPr>
            <w:tcW w:type="dxa" w:w="2835"/>
          </w:tcPr>
          <w:p>
            <w:r/>
            <w:r>
              <w:rPr>
                <w:sz w:val="19"/>
              </w:rPr>
              <w:t>Increase NMT 0.20 %</w:t>
            </w:r>
          </w:p>
        </w:tc>
      </w:tr>
      <w:tr>
        <w:tc>
          <w:tcPr>
            <w:tcW w:type="dxa" w:w="2551"/>
          </w:tcPr>
          <w:p>
            <w:r/>
            <w:r>
              <w:rPr>
                <w:sz w:val="19"/>
              </w:rPr>
              <w:t>pH</w:t>
            </w:r>
          </w:p>
        </w:tc>
        <w:tc>
          <w:tcPr>
            <w:tcW w:type="dxa" w:w="1984"/>
          </w:tcPr>
          <w:p>
            <w:r/>
            <w:r>
              <w:rPr>
                <w:sz w:val="19"/>
              </w:rPr>
              <w:t>5.21</w:t>
            </w:r>
          </w:p>
        </w:tc>
        <w:tc>
          <w:tcPr>
            <w:tcW w:type="dxa" w:w="1984"/>
          </w:tcPr>
          <w:p>
            <w:r/>
            <w:r>
              <w:rPr>
                <w:sz w:val="19"/>
              </w:rPr>
              <w:t>5.19</w:t>
            </w:r>
          </w:p>
        </w:tc>
        <w:tc>
          <w:tcPr>
            <w:tcW w:type="dxa" w:w="2835"/>
          </w:tcPr>
          <w:p>
            <w:r/>
            <w:r>
              <w:rPr>
                <w:sz w:val="19"/>
              </w:rPr>
              <w:t>Difference NMT 0.20</w:t>
            </w:r>
          </w:p>
        </w:tc>
      </w:tr>
    </w:tbl>
    <w:p>
      <w:r>
        <w:rPr>
          <w:b/>
          <w:i w:val="0"/>
        </w:rPr>
        <w:t>Section 6 of each report also records the same two observations — "Sample transfer delayed 18 minutes" and "Serial number transposition" — with only the record prefix changed (…-COMP-005-OBS-01, …-SEAL-007-OBS-01, …-ADMIN-003-OBS-01), plus the same third line for LAB-2025-114. Three distinct studies, executed on different articles, do not produce identical reportable values and identical deviations. A reviewer will read this as template text carried across three reports and signed by Quality, and will then challenge every other value in the package.</w:t>
      </w:r>
    </w:p>
    <w:p>
      <w:pPr>
        <w:pStyle w:val="Heading2"/>
      </w:pPr>
      <w:r>
        <w:t>2.3 The seal-integrity report contains no integrity result</w:t>
      </w:r>
    </w:p>
    <w:p>
      <w:r>
        <w:rPr>
          <w:b w:val="0"/>
          <w:i w:val="0"/>
        </w:rPr>
        <w:t>AVT-VAL-202 is the report the container-closure claim rests on, and it contains no integrity measurement:</w:t>
      </w:r>
    </w:p>
    <w:p>
      <w:pPr>
        <w:pStyle w:val="ListBullet"/>
      </w:pPr>
      <w:r>
        <w:t>No method is cited — MTH-CCI-003 (Container closure integrity by vacuum decay) is not named, and no method version is given.</w:t>
      </w:r>
    </w:p>
    <w:p>
      <w:pPr>
        <w:pStyle w:val="ListBullet"/>
      </w:pPr>
      <w:r>
        <w:t>No instrument is named — the method mandates asset CCI-02, which appears nowhere in the report.</w:t>
      </w:r>
    </w:p>
    <w:p>
      <w:pPr>
        <w:pStyle w:val="ListBullet"/>
      </w:pPr>
      <w:r>
        <w:t>No test parameters, no leak rate, no numeric threshold. The result line reads "Integrity / closure — Conforms / Conforms — Meets method threshold — Pass".</w:t>
      </w:r>
    </w:p>
    <w:p>
      <w:pPr>
        <w:pStyle w:val="ListBullet"/>
      </w:pPr>
      <w:r>
        <w:t>The section 5 "Representative integrity-test trace" figure has no axis values, no scale and no units.</w:t>
      </w:r>
    </w:p>
    <w:p>
      <w:r>
        <w:rPr>
          <w:b/>
          <w:i w:val="0"/>
        </w:rPr>
        <w:t>There is therefore no number, and no traceable limit, behind the seal-integrity conclusion.</w:t>
      </w:r>
    </w:p>
    <w:p>
      <w:r>
        <w:rPr>
          <w:b w:val="0"/>
          <w:i w:val="0"/>
        </w:rPr>
        <w:t>Related: AVT-VAL-203 section 5, headed "Representative figure", is a duplicate of the section 2 process schematic rather than a result figure.</w:t>
      </w:r>
    </w:p>
    <w:p>
      <w:pPr>
        <w:pStyle w:val="Heading2"/>
      </w:pPr>
      <w:r>
        <w:t>2.4 Acceptance criteria and figures conflict with the effective specification</w:t>
      </w:r>
    </w:p>
    <w:tbl>
      <w:tblPr>
        <w:tblStyle w:val="TableGrid"/>
        <w:tblW w:type="auto" w:w="0"/>
        <w:tblLook w:firstColumn="1" w:firstRow="1" w:lastColumn="0" w:lastRow="0" w:noHBand="0" w:noVBand="1" w:val="04A0"/>
      </w:tblPr>
      <w:tblGrid>
        <w:gridCol w:w="2880"/>
        <w:gridCol w:w="2880"/>
        <w:gridCol w:w="2880"/>
      </w:tblGrid>
      <w:tr>
        <w:tc>
          <w:tcPr>
            <w:tcW w:type="dxa" w:w="3402"/>
          </w:tcPr>
          <w:p>
            <w:r>
              <w:rPr>
                <w:sz w:val="19"/>
              </w:rPr>
            </w:r>
            <w:r>
              <w:rPr>
                <w:b/>
              </w:rPr>
              <w:t>Item as filed</w:t>
            </w:r>
          </w:p>
        </w:tc>
        <w:tc>
          <w:tcPr>
            <w:tcW w:type="dxa" w:w="3118"/>
          </w:tcPr>
          <w:p>
            <w:r>
              <w:rPr>
                <w:sz w:val="19"/>
              </w:rPr>
            </w:r>
            <w:r>
              <w:rPr>
                <w:b/>
              </w:rPr>
              <w:t>Effective / registered position</w:t>
            </w:r>
          </w:p>
        </w:tc>
        <w:tc>
          <w:tcPr>
            <w:tcW w:type="dxa" w:w="2835"/>
          </w:tcPr>
          <w:p>
            <w:r>
              <w:rPr>
                <w:sz w:val="19"/>
              </w:rPr>
            </w:r>
            <w:r>
              <w:rPr>
                <w:b/>
              </w:rPr>
              <w:t>Where</w:t>
            </w:r>
          </w:p>
        </w:tc>
      </w:tr>
      <w:tr>
        <w:tc>
          <w:tcPr>
            <w:tcW w:type="dxa" w:w="3402"/>
          </w:tcPr>
          <w:p>
            <w:r/>
            <w:r>
              <w:rPr>
                <w:sz w:val="19"/>
              </w:rPr>
              <w:t>AVT-VAL-201 section 5 figure annotates "Specification limit 2.0" for total impurities</w:t>
            </w:r>
          </w:p>
        </w:tc>
        <w:tc>
          <w:tcPr>
            <w:tcW w:type="dxa" w:w="3118"/>
          </w:tcPr>
          <w:p>
            <w:r/>
            <w:r>
              <w:rPr>
                <w:sz w:val="19"/>
              </w:rPr>
              <w:t>Total impurities: not more than 1.0 per cent</w:t>
            </w:r>
          </w:p>
        </w:tc>
        <w:tc>
          <w:tcPr>
            <w:tcW w:type="dxa" w:w="2835"/>
          </w:tcPr>
          <w:p>
            <w:r/>
            <w:r>
              <w:rPr>
                <w:sz w:val="19"/>
              </w:rPr>
              <w:t>AVT-SPEC-018 v03 (effective 2025-01-20); 3.2.P.8 leaf AVT-CMC-038 v03; AVI401-SPEC-v03</w:t>
            </w:r>
          </w:p>
        </w:tc>
      </w:tr>
      <w:tr>
        <w:tc>
          <w:tcPr>
            <w:tcW w:type="dxa" w:w="3402"/>
          </w:tcPr>
          <w:p>
            <w:r/>
            <w:r>
              <w:rPr>
                <w:sz w:val="19"/>
              </w:rPr>
              <w:t>All three CCS reports evaluate total impurities against "Increase NMT 0.20 %" with no specification version cited</w:t>
            </w:r>
          </w:p>
        </w:tc>
        <w:tc>
          <w:tcPr>
            <w:tcW w:type="dxa" w:w="3118"/>
          </w:tcPr>
          <w:p>
            <w:r/>
            <w:r>
              <w:rPr>
                <w:sz w:val="19"/>
              </w:rPr>
              <w:t>Specification version is a controlled attribute; AVT-SPEC-018 v03 added Impurity B and restated the total-impurities limit</w:t>
            </w:r>
          </w:p>
        </w:tc>
        <w:tc>
          <w:tcPr>
            <w:tcW w:type="dxa" w:w="2835"/>
          </w:tcPr>
          <w:p>
            <w:r/>
            <w:r>
              <w:rPr>
                <w:sz w:val="19"/>
              </w:rPr>
              <w:t>AVT-SPEC-018 revision history, v02 2024-11-08 → v03 2025-01-20</w:t>
            </w:r>
          </w:p>
        </w:tc>
      </w:tr>
      <w:tr>
        <w:tc>
          <w:tcPr>
            <w:tcW w:type="dxa" w:w="3402"/>
          </w:tcPr>
          <w:p>
            <w:r/>
            <w:r>
              <w:rPr>
                <w:sz w:val="19"/>
              </w:rPr>
              <w:t>CCS reports approved 2025-01-16</w:t>
            </w:r>
          </w:p>
        </w:tc>
        <w:tc>
          <w:tcPr>
            <w:tcW w:type="dxa" w:w="3118"/>
          </w:tcPr>
          <w:p>
            <w:r/>
            <w:r>
              <w:rPr>
                <w:sz w:val="19"/>
              </w:rPr>
              <w:t>AVT-SPEC-018 v03 effective 2025-01-20 — four days later</w:t>
            </w:r>
          </w:p>
        </w:tc>
        <w:tc>
          <w:tcPr>
            <w:tcW w:type="dxa" w:w="2835"/>
          </w:tcPr>
          <w:p>
            <w:r/>
            <w:r>
              <w:rPr>
                <w:sz w:val="19"/>
              </w:rPr>
              <w:t>Report control pages; specification header</w:t>
            </w:r>
          </w:p>
        </w:tc>
      </w:tr>
    </w:tbl>
    <w:p>
      <w:r>
        <w:rPr>
          <w:b/>
          <w:i w:val="0"/>
        </w:rPr>
        <w:t>So the container-closure package was concluded against a specification version that was superseded four days after approval, it does not state which version it used, and one filed figure shows a total-impurities limit twice the registered limit. No impact assessment linking the CCS package to AVT-SPEC-018 v03 is on file.</w:t>
      </w:r>
    </w:p>
    <w:p>
      <w:pPr>
        <w:pStyle w:val="Heading2"/>
      </w:pPr>
      <w:r>
        <w:t>2.5 Chronology that cannot be reconciled with the stability and dossier records</w:t>
      </w:r>
    </w:p>
    <w:tbl>
      <w:tblPr>
        <w:tblStyle w:val="TableGrid"/>
        <w:tblW w:type="auto" w:w="0"/>
        <w:tblLook w:firstColumn="1" w:firstRow="1" w:lastColumn="0" w:lastRow="0" w:noHBand="0" w:noVBand="1" w:val="04A0"/>
      </w:tblPr>
      <w:tblGrid>
        <w:gridCol w:w="2880"/>
        <w:gridCol w:w="2880"/>
        <w:gridCol w:w="2880"/>
      </w:tblGrid>
      <w:tr>
        <w:tc>
          <w:tcPr>
            <w:tcW w:type="dxa" w:w="3402"/>
          </w:tcPr>
          <w:p>
            <w:r>
              <w:rPr>
                <w:sz w:val="19"/>
              </w:rPr>
            </w:r>
            <w:r>
              <w:rPr>
                <w:b/>
              </w:rPr>
              <w:t>Statement in the package</w:t>
            </w:r>
          </w:p>
        </w:tc>
        <w:tc>
          <w:tcPr>
            <w:tcW w:type="dxa" w:w="3402"/>
          </w:tcPr>
          <w:p>
            <w:r>
              <w:rPr>
                <w:sz w:val="19"/>
              </w:rPr>
            </w:r>
            <w:r>
              <w:rPr>
                <w:b/>
              </w:rPr>
              <w:t>Conflicting record</w:t>
            </w:r>
          </w:p>
        </w:tc>
        <w:tc>
          <w:tcPr>
            <w:tcW w:type="dxa" w:w="2551"/>
          </w:tcPr>
          <w:p>
            <w:r>
              <w:rPr>
                <w:sz w:val="19"/>
              </w:rPr>
            </w:r>
            <w:r>
              <w:rPr>
                <w:b/>
              </w:rPr>
              <w:t>Problem</w:t>
            </w:r>
          </w:p>
        </w:tc>
      </w:tr>
      <w:tr>
        <w:tc>
          <w:tcPr>
            <w:tcW w:type="dxa" w:w="3402"/>
          </w:tcPr>
          <w:p>
            <w:r/>
            <w:r>
              <w:rPr>
                <w:sz w:val="19"/>
              </w:rPr>
              <w:t>AVT-VAL-104/105/106/107 section 4: "Product lots: AVI401-R01, AVI401-R02, AVI401-R03"; execution 2024-10-14 to 2024-11-15</w:t>
            </w:r>
          </w:p>
        </w:tc>
        <w:tc>
          <w:tcPr>
            <w:tcW w:type="dxa" w:w="3402"/>
          </w:tcPr>
          <w:p>
            <w:r/>
            <w:r>
              <w:rPr>
                <w:sz w:val="19"/>
              </w:rPr>
              <w:t>AVI401-R01/R02/R03 manufactured 2025-02-11 / 2025-02-13 / 2025-02-18 (STB-AVI401-002 Long Term Results, Lots sheet; 3.2.P.8 §2)</w:t>
            </w:r>
          </w:p>
        </w:tc>
        <w:tc>
          <w:tcPr>
            <w:tcW w:type="dxa" w:w="2551"/>
          </w:tcPr>
          <w:p>
            <w:r/>
            <w:r>
              <w:rPr>
                <w:sz w:val="19"/>
              </w:rPr>
              <w:t>The named product lots did not exist at execution, or the same lot identifiers have been reused for two different things without distinction</w:t>
            </w:r>
          </w:p>
        </w:tc>
      </w:tr>
      <w:tr>
        <w:tc>
          <w:tcPr>
            <w:tcW w:type="dxa" w:w="3402"/>
          </w:tcPr>
          <w:p>
            <w:r/>
            <w:r>
              <w:rPr>
                <w:sz w:val="19"/>
              </w:rPr>
              <w:t>AVT-VAL-201 section 5 figure plots AVI401-R01/R02/R03 total impurities across timepoints to 24 months; report approved 2025-01-16</w:t>
            </w:r>
          </w:p>
        </w:tc>
        <w:tc>
          <w:tcPr>
            <w:tcW w:type="dxa" w:w="3402"/>
          </w:tcPr>
          <w:p>
            <w:r/>
            <w:r>
              <w:rPr>
                <w:sz w:val="19"/>
              </w:rPr>
              <w:t>Long-term study started 2025-03-01; data exist only through the 18-month pull (reported Sept 2026); the 24-month pull is still "scheduled" for 2027-03-01</w:t>
            </w:r>
          </w:p>
        </w:tc>
        <w:tc>
          <w:tcPr>
            <w:tcW w:type="dxa" w:w="2551"/>
          </w:tcPr>
          <w:p>
            <w:r/>
            <w:r>
              <w:rPr>
                <w:sz w:val="19"/>
              </w:rPr>
              <w:t>A report approved in January 2025 displays 24-month data for lots not yet manufactured</w:t>
            </w:r>
          </w:p>
        </w:tc>
      </w:tr>
      <w:tr>
        <w:tc>
          <w:tcPr>
            <w:tcW w:type="dxa" w:w="3402"/>
          </w:tcPr>
          <w:p>
            <w:r/>
            <w:r>
              <w:rPr>
                <w:sz w:val="19"/>
              </w:rPr>
              <w:t>All three CCS reports, section 6: "LAB-2025-114 — Historical invalidated run reviewed — Outside this execution; no data reused"</w:t>
            </w:r>
          </w:p>
        </w:tc>
        <w:tc>
          <w:tcPr>
            <w:tcW w:type="dxa" w:w="3402"/>
          </w:tcPr>
          <w:p>
            <w:r/>
            <w:r>
              <w:rPr>
                <w:sz w:val="19"/>
              </w:rPr>
              <w:t>3.2.P.8 §4 identifies LAB-2025-114 as an invalidated accelerated Impurity B injection on AVI401-R02 at the 6-month timepoint; no LAB-2025-114 record exists in Quality/Laboratory Investigations (which holds only LAB-INV-2026-014)</w:t>
            </w:r>
          </w:p>
        </w:tc>
        <w:tc>
          <w:tcPr>
            <w:tcW w:type="dxa" w:w="2551"/>
          </w:tcPr>
          <w:p>
            <w:r/>
            <w:r>
              <w:rPr>
                <w:sz w:val="19"/>
              </w:rPr>
              <w:t>An event belonging to lots made in Feb 2025 cannot have been reviewed in a report approved 2025-01-16, and the cited investigation record is not on file</w:t>
            </w:r>
          </w:p>
        </w:tc>
      </w:tr>
      <w:tr>
        <w:tc>
          <w:tcPr>
            <w:tcW w:type="dxa" w:w="3402"/>
          </w:tcPr>
          <w:p>
            <w:r/>
            <w:r>
              <w:rPr>
                <w:sz w:val="19"/>
              </w:rPr>
              <w:t>AVT-VAL-106 approval table: Prepared 2024-11-29, Reviewed 2024-11-29, Approved 2024-11-29</w:t>
            </w:r>
          </w:p>
        </w:tc>
        <w:tc>
          <w:tcPr>
            <w:tcW w:type="dxa" w:w="3402"/>
          </w:tcPr>
          <w:p>
            <w:r/>
            <w:r>
              <w:rPr>
                <w:sz w:val="19"/>
              </w:rPr>
              <w:t>AVT-SOP-050 §8; Validation Steering standing decision that protocol approval, execution readiness and report approval are separate milestones</w:t>
            </w:r>
          </w:p>
        </w:tc>
        <w:tc>
          <w:tcPr>
            <w:tcW w:type="dxa" w:w="2551"/>
          </w:tcPr>
          <w:p>
            <w:r/>
            <w:r>
              <w:rPr>
                <w:sz w:val="19"/>
              </w:rPr>
              <w:t>Author completion, independent review and Quality approval all dated the same day leaves no demonstrable independent review interval</w:t>
            </w:r>
          </w:p>
        </w:tc>
      </w:tr>
    </w:tbl>
    <w:p>
      <w:pPr>
        <w:pStyle w:val="Heading2"/>
      </w:pPr>
      <w:r>
        <w:t>2.6 Qualified-state and calibration claims are not supported by the certificates on file</w:t>
      </w:r>
    </w:p>
    <w:p>
      <w:r>
        <w:rPr>
          <w:b w:val="0"/>
          <w:i w:val="0"/>
        </w:rPr>
        <w:t>The CCS reports (201/202/203) assert "Traceability — Materials, equipment and methods — Current status at use — Pass" while naming no instrument, method, analyst or calibration record. There is nothing to check.</w:t>
      </w:r>
    </w:p>
    <w:p>
      <w:r>
        <w:rPr>
          <w:b w:val="0"/>
          <w:i w:val="0"/>
        </w:rPr>
        <w:t>The filter reports and protocols do name equipment, and the stated calibration due dates do not match the certificates held in Engineering/Equipment:</w:t>
      </w:r>
    </w:p>
    <w:tbl>
      <w:tblPr>
        <w:tblStyle w:val="TableGrid"/>
        <w:tblW w:type="auto" w:w="0"/>
        <w:tblLook w:firstColumn="1" w:firstRow="1" w:lastColumn="0" w:lastRow="0" w:noHBand="0" w:noVBand="1" w:val="04A0"/>
      </w:tblPr>
      <w:tblGrid>
        <w:gridCol w:w="2160"/>
        <w:gridCol w:w="2160"/>
        <w:gridCol w:w="2160"/>
        <w:gridCol w:w="2160"/>
      </w:tblGrid>
      <w:tr>
        <w:tc>
          <w:tcPr>
            <w:tcW w:type="dxa" w:w="1247"/>
          </w:tcPr>
          <w:p>
            <w:r>
              <w:rPr>
                <w:sz w:val="19"/>
              </w:rPr>
            </w:r>
            <w:r>
              <w:rPr>
                <w:b/>
              </w:rPr>
              <w:t>Asset</w:t>
            </w:r>
          </w:p>
        </w:tc>
        <w:tc>
          <w:tcPr>
            <w:tcW w:type="dxa" w:w="2608"/>
          </w:tcPr>
          <w:p>
            <w:r>
              <w:rPr>
                <w:sz w:val="19"/>
              </w:rPr>
            </w:r>
            <w:r>
              <w:rPr>
                <w:b/>
              </w:rPr>
              <w:t>Stated in AVT-VAL-104/105/106/107 and the -P protocols</w:t>
            </w:r>
          </w:p>
        </w:tc>
        <w:tc>
          <w:tcPr>
            <w:tcW w:type="dxa" w:w="2948"/>
          </w:tcPr>
          <w:p>
            <w:r>
              <w:rPr>
                <w:sz w:val="19"/>
              </w:rPr>
            </w:r>
            <w:r>
              <w:rPr>
                <w:b/>
              </w:rPr>
              <w:t>Certificate on file</w:t>
            </w:r>
          </w:p>
        </w:tc>
        <w:tc>
          <w:tcPr>
            <w:tcW w:type="dxa" w:w="2551"/>
          </w:tcPr>
          <w:p>
            <w:r>
              <w:rPr>
                <w:sz w:val="19"/>
              </w:rPr>
            </w:r>
            <w:r>
              <w:rPr>
                <w:b/>
              </w:rPr>
              <w:t>Gap</w:t>
            </w:r>
          </w:p>
        </w:tc>
      </w:tr>
      <w:tr>
        <w:tc>
          <w:tcPr>
            <w:tcW w:type="dxa" w:w="1247"/>
          </w:tcPr>
          <w:p>
            <w:r/>
            <w:r>
              <w:rPr>
                <w:sz w:val="19"/>
              </w:rPr>
              <w:t>FIT-01</w:t>
            </w:r>
          </w:p>
        </w:tc>
        <w:tc>
          <w:tcPr>
            <w:tcW w:type="dxa" w:w="2608"/>
          </w:tcPr>
          <w:p>
            <w:r/>
            <w:r>
              <w:rPr>
                <w:sz w:val="19"/>
              </w:rPr>
              <w:t>Calibration due 2025-12-18</w:t>
            </w:r>
          </w:p>
        </w:tc>
        <w:tc>
          <w:tcPr>
            <w:tcW w:type="dxa" w:w="2948"/>
          </w:tcPr>
          <w:p>
            <w:r/>
            <w:r>
              <w:rPr>
                <w:sz w:val="19"/>
              </w:rPr>
              <w:t>KES-2024-4463: calibrated 2024-04-25, next due 2025-04-25 (scanned certificate)</w:t>
            </w:r>
          </w:p>
        </w:tc>
        <w:tc>
          <w:tcPr>
            <w:tcW w:type="dxa" w:w="2551"/>
          </w:tcPr>
          <w:p>
            <w:r/>
            <w:r>
              <w:rPr>
                <w:sz w:val="19"/>
              </w:rPr>
              <w:t>Report/protocol date is not the certified due date; the following certificate KES-2025-4556 was performed 2025-05-20, after that expiry</w:t>
            </w:r>
          </w:p>
        </w:tc>
      </w:tr>
      <w:tr>
        <w:tc>
          <w:tcPr>
            <w:tcW w:type="dxa" w:w="1247"/>
          </w:tcPr>
          <w:p>
            <w:r/>
            <w:r>
              <w:rPr>
                <w:sz w:val="19"/>
              </w:rPr>
              <w:t>GC-01</w:t>
            </w:r>
          </w:p>
        </w:tc>
        <w:tc>
          <w:tcPr>
            <w:tcW w:type="dxa" w:w="2608"/>
          </w:tcPr>
          <w:p>
            <w:r/>
            <w:r>
              <w:rPr>
                <w:sz w:val="19"/>
              </w:rPr>
              <w:t>Calibration due 2025-10-31</w:t>
            </w:r>
          </w:p>
        </w:tc>
        <w:tc>
          <w:tcPr>
            <w:tcW w:type="dxa" w:w="2948"/>
          </w:tcPr>
          <w:p>
            <w:r/>
            <w:r>
              <w:rPr>
                <w:sz w:val="19"/>
              </w:rPr>
              <w:t>MER-2024-2382: calibrated 2024-07-28, next due 2025-07-28</w:t>
            </w:r>
          </w:p>
        </w:tc>
        <w:tc>
          <w:tcPr>
            <w:tcW w:type="dxa" w:w="2551"/>
          </w:tcPr>
          <w:p>
            <w:r/>
            <w:r>
              <w:rPr>
                <w:sz w:val="19"/>
              </w:rPr>
              <w:t>Date stated does not exist in the certificate record</w:t>
            </w:r>
          </w:p>
        </w:tc>
      </w:tr>
      <w:tr>
        <w:tc>
          <w:tcPr>
            <w:tcW w:type="dxa" w:w="1247"/>
          </w:tcPr>
          <w:p>
            <w:r/>
            <w:r>
              <w:rPr>
                <w:sz w:val="19"/>
              </w:rPr>
              <w:t>HPLC-02</w:t>
            </w:r>
          </w:p>
        </w:tc>
        <w:tc>
          <w:tcPr>
            <w:tcW w:type="dxa" w:w="2608"/>
          </w:tcPr>
          <w:p>
            <w:r/>
            <w:r>
              <w:rPr>
                <w:sz w:val="19"/>
              </w:rPr>
              <w:t>Calibration due 2025-09-30</w:t>
            </w:r>
          </w:p>
        </w:tc>
        <w:tc>
          <w:tcPr>
            <w:tcW w:type="dxa" w:w="2948"/>
          </w:tcPr>
          <w:p>
            <w:r/>
            <w:r>
              <w:rPr>
                <w:sz w:val="19"/>
              </w:rPr>
              <w:t>CAL-2024-1994: calibrated 2024-06-12, next due 2025-06-12</w:t>
            </w:r>
          </w:p>
        </w:tc>
        <w:tc>
          <w:tcPr>
            <w:tcW w:type="dxa" w:w="2551"/>
          </w:tcPr>
          <w:p>
            <w:r/>
            <w:r>
              <w:rPr>
                <w:sz w:val="19"/>
              </w:rPr>
              <w:t>Date stated does not exist in the certificate record</w:t>
            </w:r>
          </w:p>
        </w:tc>
      </w:tr>
      <w:tr>
        <w:tc>
          <w:tcPr>
            <w:tcW w:type="dxa" w:w="1247"/>
          </w:tcPr>
          <w:p>
            <w:r/>
            <w:r>
              <w:rPr>
                <w:sz w:val="19"/>
              </w:rPr>
              <w:t>INC-03</w:t>
            </w:r>
          </w:p>
        </w:tc>
        <w:tc>
          <w:tcPr>
            <w:tcW w:type="dxa" w:w="2608"/>
          </w:tcPr>
          <w:p>
            <w:r/>
            <w:r>
              <w:rPr>
                <w:sz w:val="19"/>
              </w:rPr>
              <w:t>Calibration due 2025-11-22</w:t>
            </w:r>
          </w:p>
        </w:tc>
        <w:tc>
          <w:tcPr>
            <w:tcW w:type="dxa" w:w="2948"/>
          </w:tcPr>
          <w:p>
            <w:r/>
            <w:r>
              <w:rPr>
                <w:sz w:val="19"/>
              </w:rPr>
              <w:t>Only record on file is MER-2026-9221, calibration performed 2026-12-19</w:t>
            </w:r>
          </w:p>
        </w:tc>
        <w:tc>
          <w:tcPr>
            <w:tcW w:type="dxa" w:w="2551"/>
          </w:tcPr>
          <w:p>
            <w:r/>
            <w:r>
              <w:rPr>
                <w:sz w:val="19"/>
              </w:rPr>
              <w:t>Nothing covering the Oct–Nov 2024 execution</w:t>
            </w:r>
          </w:p>
        </w:tc>
      </w:tr>
      <w:tr>
        <w:tc>
          <w:tcPr>
            <w:tcW w:type="dxa" w:w="1247"/>
          </w:tcPr>
          <w:p>
            <w:r/>
            <w:r>
              <w:rPr>
                <w:sz w:val="19"/>
              </w:rPr>
              <w:t>BAL-17</w:t>
            </w:r>
          </w:p>
        </w:tc>
        <w:tc>
          <w:tcPr>
            <w:tcW w:type="dxa" w:w="2608"/>
          </w:tcPr>
          <w:p>
            <w:r/>
            <w:r>
              <w:rPr>
                <w:sz w:val="19"/>
              </w:rPr>
              <w:t>Calibration due 2025-08-15</w:t>
            </w:r>
          </w:p>
        </w:tc>
        <w:tc>
          <w:tcPr>
            <w:tcW w:type="dxa" w:w="2948"/>
          </w:tcPr>
          <w:p>
            <w:r/>
            <w:r>
              <w:rPr>
                <w:sz w:val="19"/>
              </w:rPr>
              <w:t>No record anywhere in Engineering/Equipment or Laboratory/Qualification</w:t>
            </w:r>
          </w:p>
        </w:tc>
        <w:tc>
          <w:tcPr>
            <w:tcW w:type="dxa" w:w="2551"/>
          </w:tcPr>
          <w:p>
            <w:r/>
            <w:r>
              <w:rPr>
                <w:sz w:val="19"/>
              </w:rPr>
              <w:t>Asset cannot be evidenced at all</w:t>
            </w:r>
          </w:p>
        </w:tc>
      </w:tr>
    </w:tbl>
    <w:p>
      <w:r>
        <w:rPr>
          <w:b/>
          <w:i w:val="0"/>
        </w:rPr>
        <w:t>AVT-SOP-050 §7 requires that identity and status of equipment be verified and recorded rather than assumed. Five equipment lines in the filed package restate due dates that the certificate record does not support.</w:t>
      </w:r>
    </w:p>
    <w:p>
      <w:pPr>
        <w:pStyle w:val="Heading2"/>
      </w:pPr>
      <w:r>
        <w:t>2.7 The CCI method and its instrument are the weakest link</w:t>
      </w:r>
    </w:p>
    <w:p>
      <w:pPr>
        <w:pStyle w:val="ListBullet"/>
      </w:pPr>
      <w:r>
        <w:t>MTH-CCI-003 is at version 3.0, effective 2025-01-20, revision reason "Aligned with the current specification" — i.e. the method changed four days after the CCS reports were approved, and the reports do not state which version they used.</w:t>
      </w:r>
    </w:p>
    <w:p>
      <w:pPr>
        <w:pStyle w:val="ListBullet"/>
      </w:pPr>
      <w:r>
        <w:t>The only method revalidation record on file is AVT-VAL-338, periodic revalidation of MTH-CCI-003 performed 2023-05-30 — against the pre-v3.0 method. There is no revalidation or requalification record for the version now effective.</w:t>
      </w:r>
    </w:p>
    <w:p>
      <w:pPr>
        <w:pStyle w:val="ListBullet"/>
      </w:pPr>
      <w:r>
        <w:t>The method mandates vacuum-decay asset CCI-02. CCI-02 has no equipment folder, no qualification summary and no calibration certificate anywhere in Engineering/Equipment or Laboratory/Qualification/Asset Records. The only reference to a CCI-02 calibration is inside an uncontrolled working workbook (_Working/Tomas Li/STB-AVI401-002_24M_pull_and_update_control.xlsx, "MER-2026-5512", listed as due April 2027), which is not a certificate and is a working file, not a record.</w:t>
      </w:r>
    </w:p>
    <w:p>
      <w:r>
        <w:rPr>
          <w:b/>
          <w:i w:val="0"/>
        </w:rPr>
        <w:t>The same method and instrument carry the registered CCI test at 0, 12, 24 and 36 months (AVT-SPEC-018; 3.2.P.8 §2). A reviewer who follows the seal-integrity claim will land on an unqualified-on-paper instrument and a method whose current version has no revalidation record.</w:t>
      </w:r>
    </w:p>
    <w:p>
      <w:pPr>
        <w:pStyle w:val="Heading2"/>
      </w:pPr>
      <w:r>
        <w:t>2.8 The package never identifies what CCS-AVI401-02 actually is</w:t>
      </w:r>
    </w:p>
    <w:p>
      <w:r>
        <w:rPr>
          <w:b w:val="0"/>
          <w:i w:val="0"/>
        </w:rPr>
        <w:t>The three CCS reports describe the container only as "Container — CCS-AVI401-02 — Final product closure — Shelf-life and transport". They do not state:</w:t>
      </w:r>
    </w:p>
    <w:p>
      <w:pPr>
        <w:pStyle w:val="ListBullet"/>
      </w:pPr>
      <w:r>
        <w:t>the primary bag film — registered as Peregrine multilayer polyolefin, PP / SEBS elastomer / PP, nominal 180 µm (3.2.P.8 §1);</w:t>
      </w:r>
    </w:p>
    <w:p>
      <w:pPr>
        <w:pStyle w:val="ListBullet"/>
      </w:pPr>
      <w:r>
        <w:t>the administration port — registered as Peregrine twist-off administration port;</w:t>
      </w:r>
    </w:p>
    <w:p>
      <w:pPr>
        <w:pStyle w:val="ListBullet"/>
      </w:pPr>
      <w:r>
        <w:t>the secondary overwrap — registered as Ilyssa BF-51, PE / EVOH-32 / PE, 51 µm, identified in the dossier as "the oxygen-barrier member of the marketed pack";</w:t>
      </w:r>
    </w:p>
    <w:p>
      <w:pPr>
        <w:pStyle w:val="ListBullet"/>
      </w:pPr>
      <w:r>
        <w:t>the presentations — the dossier registers 100 mL and 250 mL, and argues the 250 mL lot is the more demanding oxidative case because of larger film area and headspace-to-volume ratio.</w:t>
      </w:r>
    </w:p>
    <w:p>
      <w:r>
        <w:rPr>
          <w:b/>
          <w:i w:val="0"/>
        </w:rPr>
        <w:t>Because none of this is in the reports, the package cannot be shown to cover the registered pack, and there is no presentation bracketing or worst-case justification between 100 mL and 250 mL. The dossier itself relies on a presentation-dependent argument that the validation package does not address.</w:t>
      </w:r>
    </w:p>
    <w:p>
      <w:r>
        <w:rPr>
          <w:b w:val="0"/>
          <w:i w:val="0"/>
        </w:rPr>
        <w:t>Note also a presentation inconsistency to be ready for: the study records give AVI401-R01 100 mL, R02 100 mL, R03 250 mL (STB-AVI401-002 Long Term Results; 3.2.P.8 §2), while the working decision file _Working/Tomas Li/STB-AVI401-002_24M_campaign_decision_and_response.xlsx lists R01 100 mL, R02 250 mL, R03 500 mL. A 500 mL presentation is neither registered nor validated. If that working file travels with anything, it will be picked up.</w:t>
      </w:r>
    </w:p>
    <w:p>
      <w:pPr>
        <w:pStyle w:val="Heading2"/>
      </w:pPr>
      <w:r>
        <w:t>2.9 Overwrap change activity sits across the package</w:t>
      </w:r>
    </w:p>
    <w:p>
      <w:r>
        <w:rPr>
          <w:b w:val="0"/>
          <w:i w:val="0"/>
        </w:rPr>
        <w:t>CC-AVI401-017 (qualify alternate overwrap supplier, proposed material MAT-OWR-005 / Helion HF-55) is at status technical_assessment: technical assessment draft, Quality approval not_requested, regulatory assessment not_started, implementation not_authorized. Required evidence "Line and seal qualification" and "Stability bridge strategy" are Open (Quality/Change Control/CC-AVI401-017_Change_Status.xlsx; AVT-CMC-041 is still DRAFT — cross-functional review, approver "Pending").</w:t>
      </w:r>
    </w:p>
    <w:p>
      <w:r>
        <w:rPr>
          <w:b w:val="0"/>
          <w:i w:val="0"/>
        </w:rPr>
        <w:t>Supplier notification HFC-QN-2026-074 states HF-55 oxygen transmission is 3.8 cm³/m²·d·bar at 23 °C / 65 % RH against 2.4 for the current BF-51 — on a product whose Impurity A is an oxidative N-oxide that the dossier says is controlled partly by the overwrap barrier. The supplier expressly declines to claim equivalence.</w:t>
      </w:r>
    </w:p>
    <w:p>
      <w:r>
        <w:rPr>
          <w:b/>
          <w:i w:val="0"/>
        </w:rPr>
        <w:t>Each CCS report states in section 8: "This approval does not authorize an alternate material, supplier, configuration or process revision." So any statement in the session that the existing CCS validation covers, or can be bridged to, an alternate overwrap is not supportable from the filed reports.</w:t>
      </w:r>
    </w:p>
    <w:p>
      <w:r>
        <w:rPr>
          <w:b w:val="0"/>
          <w:i w:val="0"/>
        </w:rPr>
        <w:t>Separately, CC-2025-002 "Addition of a second supplier for Secondary overwrap supplier" is recorded in the change register as raised 2025-11-17 and Closed 2026-07-16, and the change record itself names no product, no material identifier and no qualification evidence. Expect the question "which overwrap is approved today, and where is the container-closure requalification for the second source" — and have the answer from QMS/ERP before the session, not from the change document, which does not contain it.</w:t>
      </w:r>
    </w:p>
    <w:p>
      <w:pPr>
        <w:pStyle w:val="Heading2"/>
      </w:pPr>
      <w:r>
        <w:t>2.10 Housekeeping a reviewer will still see</w:t>
      </w:r>
    </w:p>
    <w:p>
      <w:pPr>
        <w:pStyle w:val="ListBullet"/>
      </w:pPr>
      <w:r>
        <w:t>Editable .docx natives of the four approved protocols (AVT-VAL-104-P to 107-P v01) sit in the controlled Protocols folder alongside the PDF renditions, unwatermarked.</w:t>
      </w:r>
    </w:p>
    <w:p>
      <w:pPr>
        <w:pStyle w:val="ListBullet"/>
      </w:pPr>
      <w:r>
        <w:t>The governing procedure AVT-SOP-050 v3.0 shows the same individual (Katarina Bhatt) as both Reviewed by and Approved by, and the revision history attributes v3.0 to "RL" while Prepared by is recorded as Asha Morgan. The procedure that governs the package has an internal approval-independence and attribution defect on its face.</w:t>
      </w:r>
    </w:p>
    <w:p>
      <w:pPr>
        <w:pStyle w:val="ListBullet"/>
      </w:pPr>
      <w:r>
        <w:t>Executed copy cover sheets record "Pages issued/returned: 11/16" (AVT-VAL-106-P) and "13/19" (AVT-VAL-107-P) against control fields stating 11 and 13 pages. Page reconciliation needs a prepared explanation.</w:t>
      </w:r>
    </w:p>
    <w:p>
      <w:pPr>
        <w:pStyle w:val="ListBullet"/>
      </w:pPr>
      <w:r>
        <w:t>Two calibration certificates for FIT-01 (KES-2021-3012, KES-2024-4463) are image-only scans with no searchable text; the 2024 one is the certificate covering the filter execution window.</w:t>
      </w:r>
    </w:p>
    <w:p>
      <w:pPr>
        <w:pStyle w:val="Heading1"/>
      </w:pPr>
      <w:r>
        <w:t>3. What does stand</w:t>
      </w:r>
    </w:p>
    <w:p>
      <w:pPr>
        <w:pStyle w:val="ListBullet"/>
      </w:pPr>
      <w:r>
        <w:t>The four filter validations (AVT-VAL-104 to 107) have approved protocols, numbered issued execution copies with issue/return and executed stamps, per-lot results traceable to filter lots FLT24A071 / FLT24B114 / FLT24C052, and criteria transcribed before evaluation. AVT-VAL-106 records no deviations and its Annex B integrity records reconcile to the report summary (e.g. FLT24B114 bubble point 3.80/3.73 bar against NLT 3.45; diffusive flow 12.1/13.0 mL/min against NMT 18.0).</w:t>
      </w:r>
    </w:p>
    <w:p>
      <w:pPr>
        <w:pStyle w:val="ListBullet"/>
      </w:pPr>
      <w:r>
        <w:t>The controlled index AVT-MFG-PCS-012, the CCS reports, the specification AVT-SPEC-018 v03 and the 3.2.P.8 leaf are mutually consistent on process AVI401-PROC-v04, filter train FT-AVI401-02 and container system CCS-AVI401-02.</w:t>
      </w:r>
    </w:p>
    <w:p>
      <w:pPr>
        <w:pStyle w:val="ListBullet"/>
      </w:pPr>
      <w:r>
        <w:t>Registered CCI and sterility timepoints (0, 12, 24, 36 months) are correctly reflected in the study records, and the 0- and 12-month CCI results are on file as Pass for all three lots.</w:t>
      </w:r>
    </w:p>
    <w:p>
      <w:pPr>
        <w:pStyle w:val="ListBullet"/>
      </w:pPr>
      <w:r>
        <w:t>The change-control position is stated correctly and consistently in the QMS record, the draft technical assessment and the CCS reports: the alternate overwrap is not authorised.</w:t>
      </w:r>
    </w:p>
    <w:p>
      <w:pPr>
        <w:pStyle w:val="Heading1"/>
      </w:pPr>
      <w:r>
        <w:t>4. Before the session</w:t>
      </w:r>
    </w:p>
    <w:p>
      <w:r>
        <w:rPr>
          <w:b w:val="0"/>
          <w:i w:val="0"/>
        </w:rPr>
        <w:t>Ranked by how quickly the package fails if the item is opened:</w:t>
      </w:r>
    </w:p>
    <w:tbl>
      <w:tblPr>
        <w:tblStyle w:val="TableGrid"/>
        <w:tblW w:type="auto" w:w="0"/>
        <w:tblLook w:firstColumn="1" w:firstRow="1" w:lastColumn="0" w:lastRow="0" w:noHBand="0" w:noVBand="1" w:val="04A0"/>
      </w:tblPr>
      <w:tblGrid>
        <w:gridCol w:w="2160"/>
        <w:gridCol w:w="2160"/>
        <w:gridCol w:w="2160"/>
        <w:gridCol w:w="2160"/>
      </w:tblGrid>
      <w:tr>
        <w:tc>
          <w:tcPr>
            <w:tcW w:type="dxa" w:w="567"/>
          </w:tcPr>
          <w:p>
            <w:r>
              <w:rPr>
                <w:sz w:val="19"/>
              </w:rPr>
            </w:r>
            <w:r>
              <w:rPr>
                <w:b/>
              </w:rPr>
              <w:t>#</w:t>
            </w:r>
          </w:p>
        </w:tc>
        <w:tc>
          <w:tcPr>
            <w:tcW w:type="dxa" w:w="3969"/>
          </w:tcPr>
          <w:p>
            <w:r>
              <w:rPr>
                <w:sz w:val="19"/>
              </w:rPr>
            </w:r>
            <w:r>
              <w:rPr>
                <w:b/>
              </w:rPr>
              <w:t>Action</w:t>
            </w:r>
          </w:p>
        </w:tc>
        <w:tc>
          <w:tcPr>
            <w:tcW w:type="dxa" w:w="2041"/>
          </w:tcPr>
          <w:p>
            <w:r>
              <w:rPr>
                <w:sz w:val="19"/>
              </w:rPr>
            </w:r>
            <w:r>
              <w:rPr>
                <w:b/>
              </w:rPr>
              <w:t>Owner to confirm</w:t>
            </w:r>
          </w:p>
        </w:tc>
        <w:tc>
          <w:tcPr>
            <w:tcW w:type="dxa" w:w="2721"/>
          </w:tcPr>
          <w:p>
            <w:r>
              <w:rPr>
                <w:sz w:val="19"/>
              </w:rPr>
            </w:r>
            <w:r>
              <w:rPr>
                <w:b/>
              </w:rPr>
              <w:t>Why it is first</w:t>
            </w:r>
          </w:p>
        </w:tc>
      </w:tr>
      <w:tr>
        <w:tc>
          <w:tcPr>
            <w:tcW w:type="dxa" w:w="567"/>
          </w:tcPr>
          <w:p>
            <w:r/>
            <w:r>
              <w:rPr>
                <w:sz w:val="19"/>
              </w:rPr>
              <w:t>1</w:t>
            </w:r>
          </w:p>
        </w:tc>
        <w:tc>
          <w:tcPr>
            <w:tcW w:type="dxa" w:w="3969"/>
          </w:tcPr>
          <w:p>
            <w:r/>
            <w:r>
              <w:rPr>
                <w:sz w:val="19"/>
              </w:rPr>
              <w:t>Retrieve the approved protocols and executed records for VAL-CCS-COMP-005, VAL-CCS-SEAL-007 and VAL-CCS-ADMIN-003 from the validation lifecycle register / DMS, or state plainly that only the reports are available.</w:t>
            </w:r>
          </w:p>
        </w:tc>
        <w:tc>
          <w:tcPr>
            <w:tcW w:type="dxa" w:w="2041"/>
          </w:tcPr>
          <w:p>
            <w:r/>
            <w:r>
              <w:rPr>
                <w:sz w:val="19"/>
              </w:rPr>
              <w:t>Validation + Document Control</w:t>
            </w:r>
          </w:p>
        </w:tc>
        <w:tc>
          <w:tcPr>
            <w:tcW w:type="dxa" w:w="2721"/>
          </w:tcPr>
          <w:p>
            <w:r/>
            <w:r>
              <w:rPr>
                <w:sz w:val="19"/>
              </w:rPr>
              <w:t>Without these, none of the container-closure conclusions can be verified</w:t>
            </w:r>
          </w:p>
        </w:tc>
      </w:tr>
      <w:tr>
        <w:tc>
          <w:tcPr>
            <w:tcW w:type="dxa" w:w="567"/>
          </w:tcPr>
          <w:p>
            <w:r/>
            <w:r>
              <w:rPr>
                <w:sz w:val="19"/>
              </w:rPr>
              <w:t>2</w:t>
            </w:r>
          </w:p>
        </w:tc>
        <w:tc>
          <w:tcPr>
            <w:tcW w:type="dxa" w:w="3969"/>
          </w:tcPr>
          <w:p>
            <w:r/>
            <w:r>
              <w:rPr>
                <w:sz w:val="19"/>
              </w:rPr>
              <w:t>Produce the underlying integrity data for AVT-VAL-202: method version, CCI-02 identity and calibration, test parameters, measured values against the numeric threshold.</w:t>
            </w:r>
          </w:p>
        </w:tc>
        <w:tc>
          <w:tcPr>
            <w:tcW w:type="dxa" w:w="2041"/>
          </w:tcPr>
          <w:p>
            <w:r/>
            <w:r>
              <w:rPr>
                <w:sz w:val="19"/>
              </w:rPr>
              <w:t>Validation + QC</w:t>
            </w:r>
          </w:p>
        </w:tc>
        <w:tc>
          <w:tcPr>
            <w:tcW w:type="dxa" w:w="2721"/>
          </w:tcPr>
          <w:p>
            <w:r/>
            <w:r>
              <w:rPr>
                <w:sz w:val="19"/>
              </w:rPr>
              <w:t>The central claim of the session has no number behind it</w:t>
            </w:r>
          </w:p>
        </w:tc>
      </w:tr>
      <w:tr>
        <w:tc>
          <w:tcPr>
            <w:tcW w:type="dxa" w:w="567"/>
          </w:tcPr>
          <w:p>
            <w:r/>
            <w:r>
              <w:rPr>
                <w:sz w:val="19"/>
              </w:rPr>
              <w:t>3</w:t>
            </w:r>
          </w:p>
        </w:tc>
        <w:tc>
          <w:tcPr>
            <w:tcW w:type="dxa" w:w="3969"/>
          </w:tcPr>
          <w:p>
            <w:r/>
            <w:r>
              <w:rPr>
                <w:sz w:val="19"/>
              </w:rPr>
              <w:t>Produce the CCI-02 qualification and current calibration certificate, and a revalidation record for MTH-CCI-003 v3.0.</w:t>
            </w:r>
          </w:p>
        </w:tc>
        <w:tc>
          <w:tcPr>
            <w:tcW w:type="dxa" w:w="2041"/>
          </w:tcPr>
          <w:p>
            <w:r/>
            <w:r>
              <w:rPr>
                <w:sz w:val="19"/>
              </w:rPr>
              <w:t>QC + Engineering</w:t>
            </w:r>
          </w:p>
        </w:tc>
        <w:tc>
          <w:tcPr>
            <w:tcW w:type="dxa" w:w="2721"/>
          </w:tcPr>
          <w:p>
            <w:r/>
            <w:r>
              <w:rPr>
                <w:sz w:val="19"/>
              </w:rPr>
              <w:t>Instrument and method behind both the validation and the registered CCI test</w:t>
            </w:r>
          </w:p>
        </w:tc>
      </w:tr>
      <w:tr>
        <w:tc>
          <w:tcPr>
            <w:tcW w:type="dxa" w:w="567"/>
          </w:tcPr>
          <w:p>
            <w:r/>
            <w:r>
              <w:rPr>
                <w:sz w:val="19"/>
              </w:rPr>
              <w:t>4</w:t>
            </w:r>
          </w:p>
        </w:tc>
        <w:tc>
          <w:tcPr>
            <w:tcW w:type="dxa" w:w="3969"/>
          </w:tcPr>
          <w:p>
            <w:r/>
            <w:r>
              <w:rPr>
                <w:sz w:val="19"/>
              </w:rPr>
              <w:t>Explain the identical reportable values and identical observations across 201/202/203, or withdraw/reissue.</w:t>
            </w:r>
          </w:p>
        </w:tc>
        <w:tc>
          <w:tcPr>
            <w:tcW w:type="dxa" w:w="2041"/>
          </w:tcPr>
          <w:p>
            <w:r/>
            <w:r>
              <w:rPr>
                <w:sz w:val="19"/>
              </w:rPr>
              <w:t>Validation + QA</w:t>
            </w:r>
          </w:p>
        </w:tc>
        <w:tc>
          <w:tcPr>
            <w:tcW w:type="dxa" w:w="2721"/>
          </w:tcPr>
          <w:p>
            <w:r/>
            <w:r>
              <w:rPr>
                <w:sz w:val="19"/>
              </w:rPr>
              <w:t>Credibility of the whole package</w:t>
            </w:r>
          </w:p>
        </w:tc>
      </w:tr>
      <w:tr>
        <w:tc>
          <w:tcPr>
            <w:tcW w:type="dxa" w:w="567"/>
          </w:tcPr>
          <w:p>
            <w:r/>
            <w:r>
              <w:rPr>
                <w:sz w:val="19"/>
              </w:rPr>
              <w:t>5</w:t>
            </w:r>
          </w:p>
        </w:tc>
        <w:tc>
          <w:tcPr>
            <w:tcW w:type="dxa" w:w="3969"/>
          </w:tcPr>
          <w:p>
            <w:r/>
            <w:r>
              <w:rPr>
                <w:sz w:val="19"/>
              </w:rPr>
              <w:t>Reconcile lot identity and dates: product lots named in the 2024 filter executions and the 24-month figure in AVT-VAL-201 against manufacture dates 2025-02-11/13/18.</w:t>
            </w:r>
          </w:p>
        </w:tc>
        <w:tc>
          <w:tcPr>
            <w:tcW w:type="dxa" w:w="2041"/>
          </w:tcPr>
          <w:p>
            <w:r/>
            <w:r>
              <w:rPr>
                <w:sz w:val="19"/>
              </w:rPr>
              <w:t>Validation + QC Stability</w:t>
            </w:r>
          </w:p>
        </w:tc>
        <w:tc>
          <w:tcPr>
            <w:tcW w:type="dxa" w:w="2721"/>
          </w:tcPr>
          <w:p>
            <w:r/>
            <w:r>
              <w:rPr>
                <w:sz w:val="19"/>
              </w:rPr>
              <w:t>Chronology is checkable in minutes from the stability records</w:t>
            </w:r>
          </w:p>
        </w:tc>
      </w:tr>
      <w:tr>
        <w:tc>
          <w:tcPr>
            <w:tcW w:type="dxa" w:w="567"/>
          </w:tcPr>
          <w:p>
            <w:r/>
            <w:r>
              <w:rPr>
                <w:sz w:val="19"/>
              </w:rPr>
              <w:t>6</w:t>
            </w:r>
          </w:p>
        </w:tc>
        <w:tc>
          <w:tcPr>
            <w:tcW w:type="dxa" w:w="3969"/>
          </w:tcPr>
          <w:p>
            <w:r/>
            <w:r>
              <w:rPr>
                <w:sz w:val="19"/>
              </w:rPr>
              <w:t>Retrieve LAB-2025-114 as a filed investigation record, and reconcile its date against the 2025-01-16 report approvals.</w:t>
            </w:r>
          </w:p>
        </w:tc>
        <w:tc>
          <w:tcPr>
            <w:tcW w:type="dxa" w:w="2041"/>
          </w:tcPr>
          <w:p>
            <w:r/>
            <w:r>
              <w:rPr>
                <w:sz w:val="19"/>
              </w:rPr>
              <w:t>QC + QA</w:t>
            </w:r>
          </w:p>
        </w:tc>
        <w:tc>
          <w:tcPr>
            <w:tcW w:type="dxa" w:w="2721"/>
          </w:tcPr>
          <w:p>
            <w:r/>
            <w:r>
              <w:rPr>
                <w:sz w:val="19"/>
              </w:rPr>
              <w:t>Cited in all three reports; not on file</w:t>
            </w:r>
          </w:p>
        </w:tc>
      </w:tr>
      <w:tr>
        <w:tc>
          <w:tcPr>
            <w:tcW w:type="dxa" w:w="567"/>
          </w:tcPr>
          <w:p>
            <w:r/>
            <w:r>
              <w:rPr>
                <w:sz w:val="19"/>
              </w:rPr>
              <w:t>7</w:t>
            </w:r>
          </w:p>
        </w:tc>
        <w:tc>
          <w:tcPr>
            <w:tcW w:type="dxa" w:w="3969"/>
          </w:tcPr>
          <w:p>
            <w:r/>
            <w:r>
              <w:rPr>
                <w:sz w:val="19"/>
              </w:rPr>
              <w:t>Reconcile the five equipment calibration due dates against the certificates, and locate a BAL-17 record.</w:t>
            </w:r>
          </w:p>
        </w:tc>
        <w:tc>
          <w:tcPr>
            <w:tcW w:type="dxa" w:w="2041"/>
          </w:tcPr>
          <w:p>
            <w:r/>
            <w:r>
              <w:rPr>
                <w:sz w:val="19"/>
              </w:rPr>
              <w:t>Engineering + Validation</w:t>
            </w:r>
          </w:p>
        </w:tc>
        <w:tc>
          <w:tcPr>
            <w:tcW w:type="dxa" w:w="2721"/>
          </w:tcPr>
          <w:p>
            <w:r/>
            <w:r>
              <w:rPr>
                <w:sz w:val="19"/>
              </w:rPr>
              <w:t>Direct documentary contradiction</w:t>
            </w:r>
          </w:p>
        </w:tc>
      </w:tr>
      <w:tr>
        <w:tc>
          <w:tcPr>
            <w:tcW w:type="dxa" w:w="567"/>
          </w:tcPr>
          <w:p>
            <w:r/>
            <w:r>
              <w:rPr>
                <w:sz w:val="19"/>
              </w:rPr>
              <w:t>8</w:t>
            </w:r>
          </w:p>
        </w:tc>
        <w:tc>
          <w:tcPr>
            <w:tcW w:type="dxa" w:w="3969"/>
          </w:tcPr>
          <w:p>
            <w:r/>
            <w:r>
              <w:rPr>
                <w:sz w:val="19"/>
              </w:rPr>
              <w:t>Record a specification-version impact assessment linking the CCS package to AVT-SPEC-018 v03, and correct the "Specification limit 2.0" figure annotation.</w:t>
            </w:r>
          </w:p>
        </w:tc>
        <w:tc>
          <w:tcPr>
            <w:tcW w:type="dxa" w:w="2041"/>
          </w:tcPr>
          <w:p>
            <w:r/>
            <w:r>
              <w:rPr>
                <w:sz w:val="19"/>
              </w:rPr>
              <w:t>QC + Validation</w:t>
            </w:r>
          </w:p>
        </w:tc>
        <w:tc>
          <w:tcPr>
            <w:tcW w:type="dxa" w:w="2721"/>
          </w:tcPr>
          <w:p>
            <w:r/>
            <w:r>
              <w:rPr>
                <w:sz w:val="19"/>
              </w:rPr>
              <w:t>Filed figure shows twice the registered limit</w:t>
            </w:r>
          </w:p>
        </w:tc>
      </w:tr>
      <w:tr>
        <w:tc>
          <w:tcPr>
            <w:tcW w:type="dxa" w:w="567"/>
          </w:tcPr>
          <w:p>
            <w:r/>
            <w:r>
              <w:rPr>
                <w:sz w:val="19"/>
              </w:rPr>
              <w:t>9</w:t>
            </w:r>
          </w:p>
        </w:tc>
        <w:tc>
          <w:tcPr>
            <w:tcW w:type="dxa" w:w="3969"/>
          </w:tcPr>
          <w:p>
            <w:r/>
            <w:r>
              <w:rPr>
                <w:sz w:val="19"/>
              </w:rPr>
              <w:t>Add the component and presentation identity of CCS-AVI401-02 (film, port, overwrap, 100 mL / 250 mL) and the presentation worst-case justification.</w:t>
            </w:r>
          </w:p>
        </w:tc>
        <w:tc>
          <w:tcPr>
            <w:tcW w:type="dxa" w:w="2041"/>
          </w:tcPr>
          <w:p>
            <w:r/>
            <w:r>
              <w:rPr>
                <w:sz w:val="19"/>
              </w:rPr>
              <w:t>Packaging Engineering + Validation</w:t>
            </w:r>
          </w:p>
        </w:tc>
        <w:tc>
          <w:tcPr>
            <w:tcW w:type="dxa" w:w="2721"/>
          </w:tcPr>
          <w:p>
            <w:r/>
            <w:r>
              <w:rPr>
                <w:sz w:val="19"/>
              </w:rPr>
              <w:t>Package cannot currently be tied to the registered pack</w:t>
            </w:r>
          </w:p>
        </w:tc>
      </w:tr>
      <w:tr>
        <w:tc>
          <w:tcPr>
            <w:tcW w:type="dxa" w:w="567"/>
          </w:tcPr>
          <w:p>
            <w:r/>
            <w:r>
              <w:rPr>
                <w:sz w:val="19"/>
              </w:rPr>
              <w:t>10</w:t>
            </w:r>
          </w:p>
        </w:tc>
        <w:tc>
          <w:tcPr>
            <w:tcW w:type="dxa" w:w="3969"/>
          </w:tcPr>
          <w:p>
            <w:r/>
            <w:r>
              <w:rPr>
                <w:sz w:val="19"/>
              </w:rPr>
              <w:t>Confirm from QMS/ERP which overwrap is approved today, and what CC-2025-002 actually implemented.</w:t>
            </w:r>
          </w:p>
        </w:tc>
        <w:tc>
          <w:tcPr>
            <w:tcW w:type="dxa" w:w="2041"/>
          </w:tcPr>
          <w:p>
            <w:r/>
            <w:r>
              <w:rPr>
                <w:sz w:val="19"/>
              </w:rPr>
              <w:t>Supplier Quality + QA</w:t>
            </w:r>
          </w:p>
        </w:tc>
        <w:tc>
          <w:tcPr>
            <w:tcW w:type="dxa" w:w="2721"/>
          </w:tcPr>
          <w:p>
            <w:r/>
            <w:r>
              <w:rPr>
                <w:sz w:val="19"/>
              </w:rPr>
              <w:t>Predictable question with an unclear record</w:t>
            </w:r>
          </w:p>
        </w:tc>
      </w:tr>
    </w:tbl>
    <w:p>
      <w:pPr>
        <w:pStyle w:val="Heading1"/>
      </w:pPr>
      <w:r>
        <w:t>5. Handling notes for the session</w:t>
      </w:r>
    </w:p>
    <w:p>
      <w:pPr>
        <w:pStyle w:val="ListBullet"/>
      </w:pPr>
      <w:r>
        <w:t>Do not present anything from _Working/Asha Morgan/scratch.txt. Those figures are unverified meeting notes and are marked not to be used.</w:t>
      </w:r>
    </w:p>
    <w:p>
      <w:pPr>
        <w:pStyle w:val="ListBullet"/>
      </w:pPr>
      <w:r>
        <w:t>Do not present Tomas Li's working workbooks as evidence: they are unapproved (working revision 0.4), QC disposition fields are blank, reviewer Viktor Takacs has not signed, and they contain a 500 mL presentation that is neither registered nor validated.</w:t>
      </w:r>
    </w:p>
    <w:p>
      <w:pPr>
        <w:pStyle w:val="ListBullet"/>
      </w:pPr>
      <w:r>
        <w:t>Where a record is not on file, say it is not on file. AVT-SOP-050 §5 requires uncertainty to be recorded as uncertainty; absence of evidence is not evidence of absence. An unsupported "verified" statement in the session is worse than an open action.</w:t>
      </w:r>
    </w:p>
    <w:p>
      <w:pPr>
        <w:pStyle w:val="ListBullet"/>
      </w:pPr>
      <w:r>
        <w:t>Keep the filter package and the container-closure package distinct in discussion. The filter studies are defensible; the container-closure studies currently are not, and conflating them will pull the filter evidence into the same challenge.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