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AVI-401 — pre-submission check of the filed stability and validation records</w:t>
      </w:r>
    </w:p>
    <w:tbl>
      <w:tblPr>
        <w:tblStyle w:val="TableGrid"/>
        <w:tblW w:type="auto" w:w="0"/>
        <w:tblLook w:firstColumn="1" w:firstRow="1" w:lastColumn="0" w:lastRow="0" w:noHBand="0" w:noVBand="1" w:val="04A0"/>
      </w:tblPr>
      <w:tblGrid>
        <w:gridCol w:w="4320"/>
        <w:gridCol w:w="4320"/>
      </w:tblGrid>
      <w:tr>
        <w:tc>
          <w:tcPr>
            <w:tcW w:type="dxa" w:w="2268"/>
          </w:tcPr>
          <w:p>
            <w:r/>
            <w:r>
              <w:rPr>
                <w:b/>
                <w:sz w:val="17"/>
              </w:rPr>
              <w:t>Field</w:t>
            </w:r>
          </w:p>
        </w:tc>
        <w:tc>
          <w:tcPr>
            <w:tcW w:type="dxa" w:w="7087"/>
          </w:tcPr>
          <w:p>
            <w:r/>
            <w:r>
              <w:rPr>
                <w:b/>
                <w:sz w:val="17"/>
              </w:rPr>
              <w:t>Value</w:t>
            </w:r>
          </w:p>
        </w:tc>
      </w:tr>
      <w:tr>
        <w:tc>
          <w:tcPr>
            <w:tcW w:type="dxa" w:w="2268"/>
          </w:tcPr>
          <w:p>
            <w:r/>
            <w:r>
              <w:rPr>
                <w:sz w:val="17"/>
              </w:rPr>
              <w:t>Prepared for</w:t>
            </w:r>
          </w:p>
        </w:tc>
        <w:tc>
          <w:tcPr>
            <w:tcW w:type="dxa" w:w="7087"/>
          </w:tcPr>
          <w:p>
            <w:r/>
            <w:r>
              <w:rPr>
                <w:sz w:val="17"/>
              </w:rPr>
              <w:t>Leena Rao, QA Product Lead — quality release of the next AVI-401 submission sequence</w:t>
            </w:r>
          </w:p>
        </w:tc>
      </w:tr>
      <w:tr>
        <w:tc>
          <w:tcPr>
            <w:tcW w:type="dxa" w:w="2268"/>
          </w:tcPr>
          <w:p>
            <w:r/>
            <w:r>
              <w:rPr>
                <w:sz w:val="17"/>
              </w:rPr>
              <w:t>Prepared</w:t>
            </w:r>
          </w:p>
        </w:tc>
        <w:tc>
          <w:tcPr>
            <w:tcW w:type="dxa" w:w="7087"/>
          </w:tcPr>
          <w:p>
            <w:r/>
            <w:r>
              <w:rPr>
                <w:sz w:val="17"/>
              </w:rPr>
              <w:t>2027-02-09</w:t>
            </w:r>
          </w:p>
        </w:tc>
      </w:tr>
      <w:tr>
        <w:tc>
          <w:tcPr>
            <w:tcW w:type="dxa" w:w="2268"/>
          </w:tcPr>
          <w:p>
            <w:r/>
            <w:r>
              <w:rPr>
                <w:sz w:val="17"/>
              </w:rPr>
              <w:t>Subject</w:t>
            </w:r>
          </w:p>
        </w:tc>
        <w:tc>
          <w:tcPr>
            <w:tcW w:type="dxa" w:w="7087"/>
          </w:tcPr>
          <w:p>
            <w:r/>
            <w:r>
              <w:rPr>
                <w:sz w:val="17"/>
              </w:rPr>
              <w:t>Application APP-CN-AVI401-001 (last filed sequence 0003); study STB-AVI401-002; commitment COM-AVI401-008</w:t>
            </w:r>
          </w:p>
        </w:tc>
      </w:tr>
      <w:tr>
        <w:tc>
          <w:tcPr>
            <w:tcW w:type="dxa" w:w="2268"/>
          </w:tcPr>
          <w:p>
            <w:r/>
            <w:r>
              <w:rPr>
                <w:sz w:val="17"/>
              </w:rPr>
              <w:t>Question addressed</w:t>
            </w:r>
          </w:p>
        </w:tc>
        <w:tc>
          <w:tcPr>
            <w:tcW w:type="dxa" w:w="7087"/>
          </w:tcPr>
          <w:p>
            <w:r/>
            <w:r>
              <w:rPr>
                <w:sz w:val="17"/>
              </w:rPr>
              <w:t>What in the filed stability and validation records would not survive an inspector or assessor reading them</w:t>
            </w:r>
          </w:p>
        </w:tc>
      </w:tr>
      <w:tr>
        <w:tc>
          <w:tcPr>
            <w:tcW w:type="dxa" w:w="2268"/>
          </w:tcPr>
          <w:p>
            <w:r/>
            <w:r>
              <w:rPr>
                <w:sz w:val="17"/>
              </w:rPr>
              <w:t>Status</w:t>
            </w:r>
          </w:p>
        </w:tc>
        <w:tc>
          <w:tcPr>
            <w:tcW w:type="dxa" w:w="7087"/>
          </w:tcPr>
          <w:p>
            <w:r/>
            <w:r>
              <w:rPr>
                <w:sz w:val="17"/>
              </w:rPr>
              <w:t>Working assessment. Not a controlled record and not a disposition. Every statement below is traceable to a document ID and date in the site file.</w:t>
            </w:r>
          </w:p>
        </w:tc>
      </w:tr>
    </w:tbl>
    <w:p/>
    <w:p>
      <w:pPr>
        <w:pStyle w:val="Heading1"/>
      </w:pPr>
      <w:r>
        <w:t>1. Bottom line</w:t>
      </w:r>
    </w:p>
    <w:p>
      <w:r>
        <w:rPr>
          <w:b w:val="0"/>
          <w:i w:val="0"/>
        </w:rPr>
        <w:t>The filed data themselves are unremarkable: 156 reported results through 18 months, all inside AVT-SPEC-018 v03, and the numbers in the 3.2.P.8 leaf reconcile exactly to STB-AVI401-002_Long_Term_Results.xlsx and to AVT-STB-301. The exposure is not in the results. It is in the records that are supposed to make those results defensible.</w:t>
      </w:r>
    </w:p>
    <w:p>
      <w:r>
        <w:rPr>
          <w:b/>
          <w:i w:val="0"/>
        </w:rPr>
        <w:t>Three things would not survive a careful reading, and I would not sign the next sequence until they are addressed:</w:t>
      </w:r>
    </w:p>
    <w:p>
      <w:pPr>
        <w:pStyle w:val="ListBullet"/>
      </w:pPr>
      <w:r>
        <w:t>(a) The file cannot demonstrate that the testing chain was in a qualified state when the filed data were generated. For every instrument, every reference standard and the storage chamber, the only record on file was issued after most or all of the data in sequence 0003. Protocol appendix AVT-STB-102-A4 §1 makes that state a condition of every reported result.</w:t>
      </w:r>
    </w:p>
    <w:p>
      <w:pPr>
        <w:pStyle w:val="ListBullet"/>
      </w:pPr>
      <w:r>
        <w:t>(b) Approved annexes to the 18-month report contain 24-month material. AVT-STB-301-A1 shows chromatograms of "AVI401-R01/R02/R03 24-month sample" and AVT-STB-301-A2 plots a 24-month point, while STB-AVI401-002_Study_Status.xlsx shows the 24-month pull as Scheduled / Pending for all three lots and the leaf declares an 18-month cutoff. An assessor will read that as either withheld data or approved records that misdescribe their own content.</w:t>
      </w:r>
    </w:p>
    <w:p>
      <w:pPr>
        <w:pStyle w:val="ListBullet"/>
      </w:pPr>
      <w:r>
        <w:t>(c) The leaf tells a story about the intermediate study and the overwrap that the supporting records do not support, and in one case contradict outright.</w:t>
      </w:r>
    </w:p>
    <w:p>
      <w:r>
        <w:rPr>
          <w:b w:val="0"/>
          <w:i w:val="0"/>
        </w:rPr>
        <w:t>Separately, five of the seven points in HA-AVI401-IR-2027-014 cannot presently be answered by citation to an approved record, which is exactly what the letter asks for. Section 5 lists them.</w:t>
      </w:r>
    </w:p>
    <w:p>
      <w:pPr>
        <w:pStyle w:val="Heading1"/>
      </w:pPr>
      <w:r>
        <w:t>2. Records read for this check</w:t>
      </w:r>
    </w:p>
    <w:p>
      <w:pPr>
        <w:pStyle w:val="ListBullet"/>
      </w:pPr>
      <w:r>
        <w:t>Regulatory: 3.2.P.8_Stability_Summary.docx (AVT-CMC-038 v03, effective 2026-10-14, filed sequence 0003); HA-AVI401-IR-2027-014 (2027-01-19).</w:t>
      </w:r>
    </w:p>
    <w:p>
      <w:pPr>
        <w:pStyle w:val="ListBullet"/>
      </w:pPr>
      <w:r>
        <w:t>Stability: AVT-STB-301 (18-month, APPROVED) and its annexes A1 (chromatograms) and A2 (trend figures); AVT-STB-302 (12-month, superseded); STB-AVI401-002_Long_Term_Results.xlsx; STB-AVI401-002_Study_Status.xlsx; AVI-401_Accelerated_and_Intermediate_Results.xlsx; protocol appendix AVT-STB-102-A4 v2.0.</w:t>
      </w:r>
    </w:p>
    <w:p>
      <w:pPr>
        <w:pStyle w:val="ListBullet"/>
      </w:pPr>
      <w:r>
        <w:t>Specification and methods: AVT-SPEC-018 v03; MTH-VIS-002, MTH-PHY-004, MTH-PHY-009, MTH-PHY-015, MTH-HPLC-011, MTH-HPLC-012, MTH-CCI-003, MTH-MIC-001 (all v3.0, effective 2025-01-20).</w:t>
      </w:r>
    </w:p>
    <w:p>
      <w:pPr>
        <w:pStyle w:val="ListBullet"/>
      </w:pPr>
      <w:r>
        <w:t>Qualification evidence: Laboratory/Qualification/Asset Records (AVT-RS-069/076/079/084/101, AVT-VAL-338/344/347/348/350/355/358, MER-2026-6108/6402/6799/7741/8014/8830/9014/9221); Reports/Laboratory Data extracts for AVT-VAL-352 and MER-2026-5512; AVT-VAL-316 (CHM-25-03 IOQ) and MER-2026-4587; AVT-RS-088 and AVT-RS-093 narratives; CC-2023-004.</w:t>
      </w:r>
    </w:p>
    <w:p>
      <w:pPr>
        <w:pStyle w:val="ListBullet"/>
      </w:pPr>
      <w:r>
        <w:t>Validation: AVT-VAL-104, 105, 106, 107, 201, 202, 203 and their protocols and executed copies; AVT-MFG-PCS-012.</w:t>
      </w:r>
    </w:p>
    <w:p>
      <w:pPr>
        <w:pStyle w:val="ListBullet"/>
      </w:pPr>
      <w:r>
        <w:t>Change and supplier: CC-AVI401-017_Change_Status.xlsx; AVT-CMC-041 (draft); HFC-QN-2026-074.</w:t>
      </w:r>
    </w:p>
    <w:p>
      <w:pPr>
        <w:pStyle w:val="ListBullet"/>
      </w:pPr>
      <w:r>
        <w:t>Context only, not filed records: _Working/Tomas Li 24-month pull and decision workbooks.</w:t>
      </w:r>
    </w:p>
    <w:p>
      <w:pPr>
        <w:pStyle w:val="Heading1"/>
      </w:pPr>
      <w:r>
        <w:t>3. Findings that would generate an observation</w:t>
      </w:r>
    </w:p>
    <w:p>
      <w:pPr>
        <w:pStyle w:val="Heading2"/>
      </w:pPr>
      <w:r>
        <w:t>3.1 The qualified state of the testing chain is not demonstrable for any filed timepoint</w:t>
      </w:r>
    </w:p>
    <w:p>
      <w:r>
        <w:rPr>
          <w:b w:val="0"/>
          <w:i w:val="0"/>
        </w:rPr>
        <w:t>AVT-STB-102-A4 §1 is unambiguous: "Every result reported against study STB-AVI401-002 must have been generated while every asset in the testing chain was in a qualified state." §2 defines the chain as the storage chamber, every method in the effective specification, every instrument named in those methods and every reference standard cited by them. §3 sets the interval from the date the governing activity was performed.</w:t>
      </w:r>
    </w:p>
    <w:p>
      <w:r>
        <w:rPr>
          <w:b w:val="0"/>
          <w:i w:val="0"/>
        </w:rPr>
        <w:t>Applying that rule to AVT-SPEC-018 v03 and the eight effective methods, the chain is: CHM-25-03; MTH-VIS-002, MTH-PHY-004, MTH-PHY-009, MTH-PHY-015, MTH-HPLC-011, MTH-HPLC-012, MTH-CCI-003, MTH-MIC-001; instruments HPLC-04, PH-03, OSM-02, PM-01, CCI-02, INC-03; reference standards RS-AVR-014, RS-IMPA-009, RS-IMPB-006, RS-BUF-021, RS-OSM-004, RS-PSL-012. The filed data run from 2025-03-07 (first reported 0-month result) to 2026-09-12 (last reported 18-month result).</w:t>
      </w:r>
    </w:p>
    <w:p>
      <w:r>
        <w:rPr>
          <w:b/>
          <w:i w:val="0"/>
        </w:rPr>
        <w:t>Coverage of the filed data by the records actually on file: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814"/>
          </w:tcPr>
          <w:p>
            <w:r/>
            <w:r>
              <w:rPr>
                <w:b/>
                <w:sz w:val="17"/>
              </w:rPr>
              <w:t>Chain asset</w:t>
            </w:r>
          </w:p>
        </w:tc>
        <w:tc>
          <w:tcPr>
            <w:tcW w:type="dxa" w:w="1928"/>
          </w:tcPr>
          <w:p>
            <w:r/>
            <w:r>
              <w:rPr>
                <w:b/>
                <w:sz w:val="17"/>
              </w:rPr>
              <w:t>Governing activity / interval (A4 §3)</w:t>
            </w:r>
          </w:p>
        </w:tc>
        <w:tc>
          <w:tcPr>
            <w:tcW w:type="dxa" w:w="2608"/>
          </w:tcPr>
          <w:p>
            <w:r/>
            <w:r>
              <w:rPr>
                <w:b/>
                <w:sz w:val="17"/>
              </w:rPr>
              <w:t>Only record in the file</w:t>
            </w:r>
          </w:p>
        </w:tc>
        <w:tc>
          <w:tcPr>
            <w:tcW w:type="dxa" w:w="1474"/>
          </w:tcPr>
          <w:p>
            <w:r/>
            <w:r>
              <w:rPr>
                <w:b/>
                <w:sz w:val="17"/>
              </w:rPr>
              <w:t>Activity date</w:t>
            </w:r>
          </w:p>
        </w:tc>
        <w:tc>
          <w:tcPr>
            <w:tcW w:type="dxa" w:w="2835"/>
          </w:tcPr>
          <w:p>
            <w:r/>
            <w:r>
              <w:rPr>
                <w:b/>
                <w:sz w:val="17"/>
              </w:rPr>
              <w:t>Does it cover the filed 2025-03 to 2026-09 data?</w:t>
            </w:r>
          </w:p>
        </w:tc>
      </w:tr>
      <w:tr>
        <w:tc>
          <w:tcPr>
            <w:tcW w:type="dxa" w:w="1814"/>
          </w:tcPr>
          <w:p>
            <w:r/>
            <w:r>
              <w:rPr>
                <w:sz w:val="17"/>
              </w:rPr>
              <w:t>CHM-25-03 (storage)</w:t>
            </w:r>
          </w:p>
        </w:tc>
        <w:tc>
          <w:tcPr>
            <w:tcW w:type="dxa" w:w="1928"/>
          </w:tcPr>
          <w:p>
            <w:r/>
            <w:r>
              <w:rPr>
                <w:sz w:val="17"/>
              </w:rPr>
              <w:t>Requalification / 36 months</w:t>
            </w:r>
          </w:p>
        </w:tc>
        <w:tc>
          <w:tcPr>
            <w:tcW w:type="dxa" w:w="2608"/>
          </w:tcPr>
          <w:p>
            <w:r/>
            <w:r>
              <w:rPr>
                <w:sz w:val="17"/>
              </w:rPr>
              <w:t>None. AVT-VAL-316 is the 2022 IOQ (installed 2022-08-13). CC-2023-004 records "Complete requalification" actions closed 2023-06-11 and 2023-10-16, but no requalification report is filed.</w:t>
            </w:r>
          </w:p>
        </w:tc>
        <w:tc>
          <w:tcPr>
            <w:tcW w:type="dxa" w:w="1474"/>
          </w:tcPr>
          <w:p>
            <w:r/>
            <w:r>
              <w:rPr>
                <w:sz w:val="17"/>
              </w:rPr>
              <w:t>2022-08-13 (IOQ) or mid-2023 (per CC-2023-004 actions)</w:t>
            </w:r>
          </w:p>
        </w:tc>
        <w:tc>
          <w:tcPr>
            <w:tcW w:type="dxa" w:w="2835"/>
          </w:tcPr>
          <w:p>
            <w:r/>
            <w:r>
              <w:rPr>
                <w:sz w:val="17"/>
              </w:rPr>
              <w:t>Partly at best. On the IOQ date the interval expired 2025-08-13, i.e. before the 12-month and 18-month pulls. On the CC-2023-004 date it expired around 2026-10, i.e. before the 24-month pull now planned.</w:t>
            </w:r>
          </w:p>
        </w:tc>
      </w:tr>
      <w:tr>
        <w:tc>
          <w:tcPr>
            <w:tcW w:type="dxa" w:w="1814"/>
          </w:tcPr>
          <w:p>
            <w:r/>
            <w:r>
              <w:rPr>
                <w:sz w:val="17"/>
              </w:rPr>
              <w:t>HPLC-04 (assay, impurities)</w:t>
            </w:r>
          </w:p>
        </w:tc>
        <w:tc>
          <w:tcPr>
            <w:tcW w:type="dxa" w:w="1928"/>
          </w:tcPr>
          <w:p>
            <w:r/>
            <w:r>
              <w:rPr>
                <w:sz w:val="17"/>
              </w:rPr>
              <w:t>Calibration / 12 months</w:t>
            </w:r>
          </w:p>
        </w:tc>
        <w:tc>
          <w:tcPr>
            <w:tcW w:type="dxa" w:w="2608"/>
          </w:tcPr>
          <w:p>
            <w:r/>
            <w:r>
              <w:rPr>
                <w:sz w:val="17"/>
              </w:rPr>
              <w:t>MER-2026-8014</w:t>
            </w:r>
          </w:p>
        </w:tc>
        <w:tc>
          <w:tcPr>
            <w:tcW w:type="dxa" w:w="1474"/>
          </w:tcPr>
          <w:p>
            <w:r/>
            <w:r>
              <w:rPr>
                <w:sz w:val="17"/>
              </w:rPr>
              <w:t>2026-10-05</w:t>
            </w:r>
          </w:p>
        </w:tc>
        <w:tc>
          <w:tcPr>
            <w:tcW w:type="dxa" w:w="2835"/>
          </w:tcPr>
          <w:p>
            <w:r/>
            <w:r>
              <w:rPr>
                <w:sz w:val="17"/>
              </w:rPr>
              <w:t>No. Covers 2026-10-05 onward. Every filed assay, Impurity A, Impurity B and total-impurity result predates it. There is no earlier certificate and no IQ/OQ record for HPLC-04 anywhere in the file.</w:t>
            </w:r>
          </w:p>
        </w:tc>
      </w:tr>
      <w:tr>
        <w:tc>
          <w:tcPr>
            <w:tcW w:type="dxa" w:w="1814"/>
          </w:tcPr>
          <w:p>
            <w:r/>
            <w:r>
              <w:rPr>
                <w:sz w:val="17"/>
              </w:rPr>
              <w:t>PH-03 (pH)</w:t>
            </w:r>
          </w:p>
        </w:tc>
        <w:tc>
          <w:tcPr>
            <w:tcW w:type="dxa" w:w="1928"/>
          </w:tcPr>
          <w:p>
            <w:r/>
            <w:r>
              <w:rPr>
                <w:sz w:val="17"/>
              </w:rPr>
              <w:t>Calibration / 12 months</w:t>
            </w:r>
          </w:p>
        </w:tc>
        <w:tc>
          <w:tcPr>
            <w:tcW w:type="dxa" w:w="2608"/>
          </w:tcPr>
          <w:p>
            <w:r/>
            <w:r>
              <w:rPr>
                <w:sz w:val="17"/>
              </w:rPr>
              <w:t>MER-2026-7741</w:t>
            </w:r>
          </w:p>
        </w:tc>
        <w:tc>
          <w:tcPr>
            <w:tcW w:type="dxa" w:w="1474"/>
          </w:tcPr>
          <w:p>
            <w:r/>
            <w:r>
              <w:rPr>
                <w:sz w:val="17"/>
              </w:rPr>
              <w:t>2026-09-20</w:t>
            </w:r>
          </w:p>
        </w:tc>
        <w:tc>
          <w:tcPr>
            <w:tcW w:type="dxa" w:w="2835"/>
          </w:tcPr>
          <w:p>
            <w:r/>
            <w:r>
              <w:rPr>
                <w:sz w:val="17"/>
              </w:rPr>
              <w:t>No. The 18-month pH results were reported 2026-09-07 to 2026-09-12, eight to thirteen days before the only calibration on file.</w:t>
            </w:r>
          </w:p>
        </w:tc>
      </w:tr>
      <w:tr>
        <w:tc>
          <w:tcPr>
            <w:tcW w:type="dxa" w:w="1814"/>
          </w:tcPr>
          <w:p>
            <w:r/>
            <w:r>
              <w:rPr>
                <w:sz w:val="17"/>
              </w:rPr>
              <w:t>OSM-02 (osmolality)</w:t>
            </w:r>
          </w:p>
        </w:tc>
        <w:tc>
          <w:tcPr>
            <w:tcW w:type="dxa" w:w="1928"/>
          </w:tcPr>
          <w:p>
            <w:r/>
            <w:r>
              <w:rPr>
                <w:sz w:val="17"/>
              </w:rPr>
              <w:t>Calibration / 12 months</w:t>
            </w:r>
          </w:p>
        </w:tc>
        <w:tc>
          <w:tcPr>
            <w:tcW w:type="dxa" w:w="2608"/>
          </w:tcPr>
          <w:p>
            <w:r/>
            <w:r>
              <w:rPr>
                <w:sz w:val="17"/>
              </w:rPr>
              <w:t>MER-2026-8830</w:t>
            </w:r>
          </w:p>
        </w:tc>
        <w:tc>
          <w:tcPr>
            <w:tcW w:type="dxa" w:w="1474"/>
          </w:tcPr>
          <w:p>
            <w:r/>
            <w:r>
              <w:rPr>
                <w:sz w:val="17"/>
              </w:rPr>
              <w:t>2026-11-02</w:t>
            </w:r>
          </w:p>
        </w:tc>
        <w:tc>
          <w:tcPr>
            <w:tcW w:type="dxa" w:w="2835"/>
          </w:tcPr>
          <w:p>
            <w:r/>
            <w:r>
              <w:rPr>
                <w:sz w:val="17"/>
              </w:rPr>
              <w:t>No.</w:t>
            </w:r>
          </w:p>
        </w:tc>
      </w:tr>
      <w:tr>
        <w:tc>
          <w:tcPr>
            <w:tcW w:type="dxa" w:w="1814"/>
          </w:tcPr>
          <w:p>
            <w:r/>
            <w:r>
              <w:rPr>
                <w:sz w:val="17"/>
              </w:rPr>
              <w:t>PM-01 (sub-visible particles)</w:t>
            </w:r>
          </w:p>
        </w:tc>
        <w:tc>
          <w:tcPr>
            <w:tcW w:type="dxa" w:w="1928"/>
          </w:tcPr>
          <w:p>
            <w:r/>
            <w:r>
              <w:rPr>
                <w:sz w:val="17"/>
              </w:rPr>
              <w:t>Calibration / 12 months</w:t>
            </w:r>
          </w:p>
        </w:tc>
        <w:tc>
          <w:tcPr>
            <w:tcW w:type="dxa" w:w="2608"/>
          </w:tcPr>
          <w:p>
            <w:r/>
            <w:r>
              <w:rPr>
                <w:sz w:val="17"/>
              </w:rPr>
              <w:t>MER-2026-9014</w:t>
            </w:r>
          </w:p>
        </w:tc>
        <w:tc>
          <w:tcPr>
            <w:tcW w:type="dxa" w:w="1474"/>
          </w:tcPr>
          <w:p>
            <w:r/>
            <w:r>
              <w:rPr>
                <w:sz w:val="17"/>
              </w:rPr>
              <w:t>2026-12-01</w:t>
            </w:r>
          </w:p>
        </w:tc>
        <w:tc>
          <w:tcPr>
            <w:tcW w:type="dxa" w:w="2835"/>
          </w:tcPr>
          <w:p>
            <w:r/>
            <w:r>
              <w:rPr>
                <w:sz w:val="17"/>
              </w:rPr>
              <w:t>No.</w:t>
            </w:r>
          </w:p>
        </w:tc>
      </w:tr>
      <w:tr>
        <w:tc>
          <w:tcPr>
            <w:tcW w:type="dxa" w:w="1814"/>
          </w:tcPr>
          <w:p>
            <w:r/>
            <w:r>
              <w:rPr>
                <w:sz w:val="17"/>
              </w:rPr>
              <w:t>INC-03 (sterility)</w:t>
            </w:r>
          </w:p>
        </w:tc>
        <w:tc>
          <w:tcPr>
            <w:tcW w:type="dxa" w:w="1928"/>
          </w:tcPr>
          <w:p>
            <w:r/>
            <w:r>
              <w:rPr>
                <w:sz w:val="17"/>
              </w:rPr>
              <w:t>Calibration / 12 months</w:t>
            </w:r>
          </w:p>
        </w:tc>
        <w:tc>
          <w:tcPr>
            <w:tcW w:type="dxa" w:w="2608"/>
          </w:tcPr>
          <w:p>
            <w:r/>
            <w:r>
              <w:rPr>
                <w:sz w:val="17"/>
              </w:rPr>
              <w:t>MER-2026-9221</w:t>
            </w:r>
          </w:p>
        </w:tc>
        <w:tc>
          <w:tcPr>
            <w:tcW w:type="dxa" w:w="1474"/>
          </w:tcPr>
          <w:p>
            <w:r/>
            <w:r>
              <w:rPr>
                <w:sz w:val="17"/>
              </w:rPr>
              <w:t>2026-12-19</w:t>
            </w:r>
          </w:p>
        </w:tc>
        <w:tc>
          <w:tcPr>
            <w:tcW w:type="dxa" w:w="2835"/>
          </w:tcPr>
          <w:p>
            <w:r/>
            <w:r>
              <w:rPr>
                <w:sz w:val="17"/>
              </w:rPr>
              <w:t>No. The 0-month and 12-month sterility results are not covered.</w:t>
            </w:r>
          </w:p>
        </w:tc>
      </w:tr>
      <w:tr>
        <w:tc>
          <w:tcPr>
            <w:tcW w:type="dxa" w:w="1814"/>
          </w:tcPr>
          <w:p>
            <w:r/>
            <w:r>
              <w:rPr>
                <w:sz w:val="17"/>
              </w:rPr>
              <w:t>CCI-02 (container closure integrity)</w:t>
            </w:r>
          </w:p>
        </w:tc>
        <w:tc>
          <w:tcPr>
            <w:tcW w:type="dxa" w:w="1928"/>
          </w:tcPr>
          <w:p>
            <w:r/>
            <w:r>
              <w:rPr>
                <w:sz w:val="17"/>
              </w:rPr>
              <w:t>Calibration / 12 months</w:t>
            </w:r>
          </w:p>
        </w:tc>
        <w:tc>
          <w:tcPr>
            <w:tcW w:type="dxa" w:w="2608"/>
          </w:tcPr>
          <w:p>
            <w:r/>
            <w:r>
              <w:rPr>
                <w:sz w:val="17"/>
              </w:rPr>
              <w:t>No record. Only a spreadsheet extract, Reports/Laboratory Data/MER-2026-5512_extract.xlsx, generated 2027-02-08.</w:t>
            </w:r>
          </w:p>
        </w:tc>
        <w:tc>
          <w:tcPr>
            <w:tcW w:type="dxa" w:w="1474"/>
          </w:tcPr>
          <w:p>
            <w:r/>
            <w:r>
              <w:rPr>
                <w:sz w:val="17"/>
              </w:rPr>
              <w:t>2026-04-12 (per the extract)</w:t>
            </w:r>
          </w:p>
        </w:tc>
        <w:tc>
          <w:tcPr>
            <w:tcW w:type="dxa" w:w="2835"/>
          </w:tcPr>
          <w:p>
            <w:r/>
            <w:r>
              <w:rPr>
                <w:sz w:val="17"/>
              </w:rPr>
              <w:t>No, and the governing certificate MER-2026-5512 is not in the file at all. The 0-month and 12-month CCI results are uncovered.</w:t>
            </w:r>
          </w:p>
        </w:tc>
      </w:tr>
      <w:tr>
        <w:tc>
          <w:tcPr>
            <w:tcW w:type="dxa" w:w="1814"/>
          </w:tcPr>
          <w:p>
            <w:r/>
            <w:r>
              <w:rPr>
                <w:sz w:val="17"/>
              </w:rPr>
              <w:t>MTH-HPLC-012 (impurities)</w:t>
            </w:r>
          </w:p>
        </w:tc>
        <w:tc>
          <w:tcPr>
            <w:tcW w:type="dxa" w:w="1928"/>
          </w:tcPr>
          <w:p>
            <w:r/>
            <w:r>
              <w:rPr>
                <w:sz w:val="17"/>
              </w:rPr>
              <w:t>Periodic revalidation / 60 months</w:t>
            </w:r>
          </w:p>
        </w:tc>
        <w:tc>
          <w:tcPr>
            <w:tcW w:type="dxa" w:w="2608"/>
          </w:tcPr>
          <w:p>
            <w:r/>
            <w:r>
              <w:rPr>
                <w:sz w:val="17"/>
              </w:rPr>
              <w:t>No record. Only Reports/Laboratory Data/AVT-VAL-352_extract.xlsx.</w:t>
            </w:r>
          </w:p>
        </w:tc>
        <w:tc>
          <w:tcPr>
            <w:tcW w:type="dxa" w:w="1474"/>
          </w:tcPr>
          <w:p>
            <w:r/>
            <w:r>
              <w:rPr>
                <w:sz w:val="17"/>
              </w:rPr>
              <w:t>2022-06-30</w:t>
            </w:r>
          </w:p>
        </w:tc>
        <w:tc>
          <w:tcPr>
            <w:tcW w:type="dxa" w:w="2835"/>
          </w:tcPr>
          <w:p>
            <w:r/>
            <w:r>
              <w:rPr>
                <w:sz w:val="17"/>
              </w:rPr>
              <w:t>Interval not expired (due 2027-06-30), but see 3.2 — that revalidation predates the method version that introduced Impurity B.</w:t>
            </w:r>
          </w:p>
        </w:tc>
      </w:tr>
      <w:tr>
        <w:tc>
          <w:tcPr>
            <w:tcW w:type="dxa" w:w="1814"/>
          </w:tcPr>
          <w:p>
            <w:r/>
            <w:r>
              <w:rPr>
                <w:sz w:val="17"/>
              </w:rPr>
              <w:t>RS-AVR-014 (assay and impurity standard)</w:t>
            </w:r>
          </w:p>
        </w:tc>
        <w:tc>
          <w:tcPr>
            <w:tcW w:type="dxa" w:w="1928"/>
          </w:tcPr>
          <w:p>
            <w:r/>
            <w:r>
              <w:rPr>
                <w:sz w:val="17"/>
              </w:rPr>
              <w:t>Expiry on certificate</w:t>
            </w:r>
          </w:p>
        </w:tc>
        <w:tc>
          <w:tcPr>
            <w:tcW w:type="dxa" w:w="2608"/>
          </w:tcPr>
          <w:p>
            <w:r/>
            <w:r>
              <w:rPr>
                <w:sz w:val="17"/>
              </w:rPr>
              <w:t>AVT-RS-088 narrative, effective 2025-05-03</w:t>
            </w:r>
          </w:p>
        </w:tc>
        <w:tc>
          <w:tcPr>
            <w:tcW w:type="dxa" w:w="1474"/>
          </w:tcPr>
          <w:p>
            <w:r/>
            <w:r>
              <w:rPr>
                <w:sz w:val="17"/>
              </w:rPr>
              <w:t>Qualified 2025-03-19; expiry 2027-03-19</w:t>
            </w:r>
          </w:p>
        </w:tc>
        <w:tc>
          <w:tcPr>
            <w:tcW w:type="dxa" w:w="2835"/>
          </w:tcPr>
          <w:p>
            <w:r/>
            <w:r>
              <w:rPr>
                <w:sz w:val="17"/>
              </w:rPr>
              <w:t>No for the earliest data. The 0-month HPLC results were reported 2025-03-08 to 2025-03-15 and lot release completed 2025-02-26 to 2025-03-05, all before the standard was qualified. No predecessor standard lot record exists, and MTH-HPLC-011/012 v3.0 name lot 014 only.</w:t>
            </w:r>
          </w:p>
        </w:tc>
      </w:tr>
      <w:tr>
        <w:tc>
          <w:tcPr>
            <w:tcW w:type="dxa" w:w="1814"/>
          </w:tcPr>
          <w:p>
            <w:r/>
            <w:r>
              <w:rPr>
                <w:sz w:val="17"/>
              </w:rPr>
              <w:t>RS-OSM-004</w:t>
            </w:r>
          </w:p>
        </w:tc>
        <w:tc>
          <w:tcPr>
            <w:tcW w:type="dxa" w:w="1928"/>
          </w:tcPr>
          <w:p>
            <w:r/>
            <w:r>
              <w:rPr>
                <w:sz w:val="17"/>
              </w:rPr>
              <w:t>Expiry on certificate</w:t>
            </w:r>
          </w:p>
        </w:tc>
        <w:tc>
          <w:tcPr>
            <w:tcW w:type="dxa" w:w="2608"/>
          </w:tcPr>
          <w:p>
            <w:r/>
            <w:r>
              <w:rPr>
                <w:sz w:val="17"/>
              </w:rPr>
              <w:t>AVT-RS-093 narrative, effective 2025-06-22</w:t>
            </w:r>
          </w:p>
        </w:tc>
        <w:tc>
          <w:tcPr>
            <w:tcW w:type="dxa" w:w="1474"/>
          </w:tcPr>
          <w:p>
            <w:r/>
            <w:r>
              <w:rPr>
                <w:sz w:val="17"/>
              </w:rPr>
              <w:t>Qualified 2025-05-08</w:t>
            </w:r>
          </w:p>
        </w:tc>
        <w:tc>
          <w:tcPr>
            <w:tcW w:type="dxa" w:w="2835"/>
          </w:tcPr>
          <w:p>
            <w:r/>
            <w:r>
              <w:rPr>
                <w:sz w:val="17"/>
              </w:rPr>
              <w:t>No for 0-month osmolality (March 2025).</w:t>
            </w:r>
          </w:p>
        </w:tc>
      </w:tr>
      <w:tr>
        <w:tc>
          <w:tcPr>
            <w:tcW w:type="dxa" w:w="1814"/>
          </w:tcPr>
          <w:p>
            <w:r/>
            <w:r>
              <w:rPr>
                <w:sz w:val="17"/>
              </w:rPr>
              <w:t>RS-IMPB-006</w:t>
            </w:r>
          </w:p>
        </w:tc>
        <w:tc>
          <w:tcPr>
            <w:tcW w:type="dxa" w:w="1928"/>
          </w:tcPr>
          <w:p>
            <w:r/>
            <w:r>
              <w:rPr>
                <w:sz w:val="17"/>
              </w:rPr>
              <w:t>Expiry on certificate</w:t>
            </w:r>
          </w:p>
        </w:tc>
        <w:tc>
          <w:tcPr>
            <w:tcW w:type="dxa" w:w="2608"/>
          </w:tcPr>
          <w:p>
            <w:r/>
            <w:r>
              <w:rPr>
                <w:sz w:val="17"/>
              </w:rPr>
              <w:t>AVT-RS-076</w:t>
            </w:r>
          </w:p>
        </w:tc>
        <w:tc>
          <w:tcPr>
            <w:tcW w:type="dxa" w:w="1474"/>
          </w:tcPr>
          <w:p>
            <w:r/>
            <w:r>
              <w:rPr>
                <w:sz w:val="17"/>
              </w:rPr>
              <w:t>Qualified 2026-01-31</w:t>
            </w:r>
          </w:p>
        </w:tc>
        <w:tc>
          <w:tcPr>
            <w:tcW w:type="dxa" w:w="2835"/>
          </w:tcPr>
          <w:p>
            <w:r/>
            <w:r>
              <w:rPr>
                <w:sz w:val="17"/>
              </w:rPr>
              <w:t>No for 0, 3, 6, 9-month Impurity B.</w:t>
            </w:r>
          </w:p>
        </w:tc>
      </w:tr>
      <w:tr>
        <w:tc>
          <w:tcPr>
            <w:tcW w:type="dxa" w:w="1814"/>
          </w:tcPr>
          <w:p>
            <w:r/>
            <w:r>
              <w:rPr>
                <w:sz w:val="17"/>
              </w:rPr>
              <w:t>RS-IMPA-009</w:t>
            </w:r>
          </w:p>
        </w:tc>
        <w:tc>
          <w:tcPr>
            <w:tcW w:type="dxa" w:w="1928"/>
          </w:tcPr>
          <w:p>
            <w:r/>
            <w:r>
              <w:rPr>
                <w:sz w:val="17"/>
              </w:rPr>
              <w:t>Expiry on certificate</w:t>
            </w:r>
          </w:p>
        </w:tc>
        <w:tc>
          <w:tcPr>
            <w:tcW w:type="dxa" w:w="2608"/>
          </w:tcPr>
          <w:p>
            <w:r/>
            <w:r>
              <w:rPr>
                <w:sz w:val="17"/>
              </w:rPr>
              <w:t>AVT-RS-079</w:t>
            </w:r>
          </w:p>
        </w:tc>
        <w:tc>
          <w:tcPr>
            <w:tcW w:type="dxa" w:w="1474"/>
          </w:tcPr>
          <w:p>
            <w:r/>
            <w:r>
              <w:rPr>
                <w:sz w:val="17"/>
              </w:rPr>
              <w:t>Qualified 2026-03-14</w:t>
            </w:r>
          </w:p>
        </w:tc>
        <w:tc>
          <w:tcPr>
            <w:tcW w:type="dxa" w:w="2835"/>
          </w:tcPr>
          <w:p>
            <w:r/>
            <w:r>
              <w:rPr>
                <w:sz w:val="17"/>
              </w:rPr>
              <w:t>No for 0 to 12-month Impurity A.</w:t>
            </w:r>
          </w:p>
        </w:tc>
      </w:tr>
      <w:tr>
        <w:tc>
          <w:tcPr>
            <w:tcW w:type="dxa" w:w="1814"/>
          </w:tcPr>
          <w:p>
            <w:r/>
            <w:r>
              <w:rPr>
                <w:sz w:val="17"/>
              </w:rPr>
              <w:t>RS-PSL-012</w:t>
            </w:r>
          </w:p>
        </w:tc>
        <w:tc>
          <w:tcPr>
            <w:tcW w:type="dxa" w:w="1928"/>
          </w:tcPr>
          <w:p>
            <w:r/>
            <w:r>
              <w:rPr>
                <w:sz w:val="17"/>
              </w:rPr>
              <w:t>Expiry on certificate</w:t>
            </w:r>
          </w:p>
        </w:tc>
        <w:tc>
          <w:tcPr>
            <w:tcW w:type="dxa" w:w="2608"/>
          </w:tcPr>
          <w:p>
            <w:r/>
            <w:r>
              <w:rPr>
                <w:sz w:val="17"/>
              </w:rPr>
              <w:t>AVT-RS-084</w:t>
            </w:r>
          </w:p>
        </w:tc>
        <w:tc>
          <w:tcPr>
            <w:tcW w:type="dxa" w:w="1474"/>
          </w:tcPr>
          <w:p>
            <w:r/>
            <w:r>
              <w:rPr>
                <w:sz w:val="17"/>
              </w:rPr>
              <w:t>Qualified 2026-06-02</w:t>
            </w:r>
          </w:p>
        </w:tc>
        <w:tc>
          <w:tcPr>
            <w:tcW w:type="dxa" w:w="2835"/>
          </w:tcPr>
          <w:p>
            <w:r/>
            <w:r>
              <w:rPr>
                <w:sz w:val="17"/>
              </w:rPr>
              <w:t>No for 0 to 12-month particulate results.</w:t>
            </w:r>
          </w:p>
        </w:tc>
      </w:tr>
      <w:tr>
        <w:tc>
          <w:tcPr>
            <w:tcW w:type="dxa" w:w="1814"/>
          </w:tcPr>
          <w:p>
            <w:r/>
            <w:r>
              <w:rPr>
                <w:sz w:val="17"/>
              </w:rPr>
              <w:t>RS-BUF-021</w:t>
            </w:r>
          </w:p>
        </w:tc>
        <w:tc>
          <w:tcPr>
            <w:tcW w:type="dxa" w:w="1928"/>
          </w:tcPr>
          <w:p>
            <w:r/>
            <w:r>
              <w:rPr>
                <w:sz w:val="17"/>
              </w:rPr>
              <w:t>Expiry on certificate</w:t>
            </w:r>
          </w:p>
        </w:tc>
        <w:tc>
          <w:tcPr>
            <w:tcW w:type="dxa" w:w="2608"/>
          </w:tcPr>
          <w:p>
            <w:r/>
            <w:r>
              <w:rPr>
                <w:sz w:val="17"/>
              </w:rPr>
              <w:t>AVT-RS-101</w:t>
            </w:r>
          </w:p>
        </w:tc>
        <w:tc>
          <w:tcPr>
            <w:tcW w:type="dxa" w:w="1474"/>
          </w:tcPr>
          <w:p>
            <w:r/>
            <w:r>
              <w:rPr>
                <w:sz w:val="17"/>
              </w:rPr>
              <w:t>Qualified 2026-10-11</w:t>
            </w:r>
          </w:p>
        </w:tc>
        <w:tc>
          <w:tcPr>
            <w:tcW w:type="dxa" w:w="2835"/>
          </w:tcPr>
          <w:p>
            <w:r/>
            <w:r>
              <w:rPr>
                <w:sz w:val="17"/>
              </w:rPr>
              <w:t>No for any filed pH result, including 18 months.</w:t>
            </w:r>
          </w:p>
        </w:tc>
      </w:tr>
    </w:tbl>
    <w:p/>
    <w:p>
      <w:r>
        <w:rPr>
          <w:b w:val="0"/>
          <w:i w:val="0"/>
        </w:rPr>
        <w:t>Read as a set, the qualification file is a snapshot of current readiness for the next pull, not a history of the study. That is the wrong shape of evidence for a submission that has already filed 18 months of data. An assessor does not have to allege anything about the data; the site simply cannot show, from what is filed, that a single reported assay or impurity value was produced on a calibrated instrument against a qualified standard.</w:t>
      </w:r>
    </w:p>
    <w:p>
      <w:r>
        <w:rPr>
          <w:b/>
          <w:i w:val="0"/>
        </w:rPr>
        <w:t>Two aggravating details in the same file:</w:t>
      </w:r>
    </w:p>
    <w:p>
      <w:pPr>
        <w:pStyle w:val="ListBullet"/>
      </w:pPr>
      <w:r>
        <w:t>The chamber's qualified state is being justified by the wrong activity. The only chamber evidence pointed to anywhere is calibration certificate MER-2026-4587 (calibrated 2026-12-05, next due 2027-12-05). A4 §3 governs the chamber by requalification under AVT-SOP-045 at 36 months, not by calibration. The 24-month readiness workbook in _Working/Tomas Li carries this substitution forward in writing ("annual calibration demonstrates qualified state"), so if that workbook is ever produced it corroborates the gap rather than closing it.</w:t>
      </w:r>
    </w:p>
    <w:p>
      <w:pPr>
        <w:pStyle w:val="ListBullet"/>
      </w:pPr>
      <w:r>
        <w:t>Four records in the same folder are filed as "released for use in support of STB-AVI401-002" for assets that A4 §2 places outside the chain: UV-02 (MER-2026-6108), GC-01 (MER-2026-6402), KF-01 (MER-2026-6799) and residual-solvent standard RS-RSV-003 (AVT-RS-069). None serves a method in AVT-SPEC-018. Their presence, next to the absence of history for the assets that are in the chain, invites the conclusion that the site does not know what its chain is — which is precisely what A4 v2.0's own revision history admits happened to the previous asset list.</w:t>
      </w:r>
    </w:p>
    <w:p>
      <w:r>
        <w:rPr>
          <w:b w:val="0"/>
          <w:i w:val="0"/>
        </w:rPr>
        <w:t>Form of the evidence is also weak. The seven chain records that do exist are one-page internal attestations titled "External calibration certificate" with no vendor named, no as-found/as-left values, no tolerances, no uncertainty and no next-due date — unlike the genuine supplier certificates held for engineering assets (for example MER-2026-4587 for CHM-25-03, which carries Meridian's points, tolerances, k=2 uncertainties and signatures). Two of them are scans watermarked "COPY" (AVT-VAL-350) and "UNCONTROLLED COPY" (MER-2026-6799); the HPLC-04 certificate MER-2026-8014 is a degraded scan; two more chain records exist only as spreadsheet extracts generated 2027-02-08.</w:t>
      </w:r>
    </w:p>
    <w:p>
      <w:pPr>
        <w:pStyle w:val="Heading2"/>
      </w:pPr>
      <w:r>
        <w:t>3.2 Impurity B is reported against a method whose last revalidation predates the version that introduced it</w:t>
      </w:r>
    </w:p>
    <w:p>
      <w:r>
        <w:rPr>
          <w:b w:val="0"/>
          <w:i w:val="0"/>
        </w:rPr>
        <w:t>AVT-SPEC-018 v03 (effective 2025-01-20) added Impurity B and restated the total-impurity limit, and MTH-HPLC-012 v3.0 became effective the same day. The only periodic-revalidation evidence for MTH-HPLC-012 is dated 2022-06-30 (AVT-VAL-352, and only as an extract). Every filed Impurity B and total-impurity result therefore sits on a method whose documented revalidation covered an earlier version of the method that did not contain the analyte. The 60-month clock has not expired, so this is not a lapse; it is an evidence gap on stability-indicating capability for a named degradant, and it lands directly on IR point 4, which asks about an invalidated Impurity B run.</w:t>
      </w:r>
    </w:p>
    <w:p>
      <w:pPr>
        <w:pStyle w:val="Heading2"/>
      </w:pPr>
      <w:r>
        <w:t>3.3 Approved annexes to the 18-month report contain 24-month material</w:t>
      </w:r>
    </w:p>
    <w:tbl>
      <w:tblPr>
        <w:tblStyle w:val="TableGrid"/>
        <w:tblW w:type="auto" w:w="0"/>
        <w:tblLook w:firstColumn="1" w:firstRow="1" w:lastColumn="0" w:lastRow="0" w:noHBand="0" w:noVBand="1" w:val="04A0"/>
      </w:tblPr>
      <w:tblGrid>
        <w:gridCol w:w="2880"/>
        <w:gridCol w:w="2880"/>
        <w:gridCol w:w="2880"/>
      </w:tblGrid>
      <w:tr>
        <w:tc>
          <w:tcPr>
            <w:tcW w:type="dxa" w:w="2551"/>
          </w:tcPr>
          <w:p>
            <w:r/>
            <w:r>
              <w:rPr>
                <w:b/>
                <w:sz w:val="17"/>
              </w:rPr>
              <w:t>Record</w:t>
            </w:r>
          </w:p>
        </w:tc>
        <w:tc>
          <w:tcPr>
            <w:tcW w:type="dxa" w:w="3969"/>
          </w:tcPr>
          <w:p>
            <w:r/>
            <w:r>
              <w:rPr>
                <w:b/>
                <w:sz w:val="17"/>
              </w:rPr>
              <w:t>What it contains</w:t>
            </w:r>
          </w:p>
        </w:tc>
        <w:tc>
          <w:tcPr>
            <w:tcW w:type="dxa" w:w="4139"/>
          </w:tcPr>
          <w:p>
            <w:r/>
            <w:r>
              <w:rPr>
                <w:b/>
                <w:sz w:val="17"/>
              </w:rPr>
              <w:t>What the rest of the file says</w:t>
            </w:r>
          </w:p>
        </w:tc>
      </w:tr>
      <w:tr>
        <w:tc>
          <w:tcPr>
            <w:tcW w:type="dxa" w:w="2551"/>
          </w:tcPr>
          <w:p>
            <w:r/>
            <w:r>
              <w:rPr>
                <w:sz w:val="17"/>
              </w:rPr>
              <w:t>AVT-STB-301-A1 Representative Chromatograms (APPROVED, annex to the 18-month report)</w:t>
            </w:r>
          </w:p>
        </w:tc>
        <w:tc>
          <w:tcPr>
            <w:tcW w:type="dxa" w:w="3969"/>
          </w:tcPr>
          <w:p>
            <w:r/>
            <w:r>
              <w:rPr>
                <w:sz w:val="17"/>
              </w:rPr>
              <w:t>Injections 5, 6 and 7 are labelled "AVI401-R01 24-month sample", "AVI401-R02 24-month sample", "AVI401-R03 24-month sample". Sequence STB24-RS-017. Every injection is labelled method "MTH-HPLC-012 v04".</w:t>
            </w:r>
          </w:p>
        </w:tc>
        <w:tc>
          <w:tcPr>
            <w:tcW w:type="dxa" w:w="4139"/>
          </w:tcPr>
          <w:p>
            <w:r/>
            <w:r>
              <w:rPr>
                <w:sz w:val="17"/>
              </w:rPr>
              <w:t>STB-AVI401-002_Study_Status.xlsx: 24-month, 2027-03-01, Execution state "Scheduled", Review state "Pending" for all three lots. The leaf states the cutoff is the completed 18-month timepoint. The effective impurities method in the file is MTH-HPLC-012 v3.0; no v04 exists.</w:t>
            </w:r>
          </w:p>
        </w:tc>
      </w:tr>
      <w:tr>
        <w:tc>
          <w:tcPr>
            <w:tcW w:type="dxa" w:w="2551"/>
          </w:tcPr>
          <w:p>
            <w:r/>
            <w:r>
              <w:rPr>
                <w:sz w:val="17"/>
              </w:rPr>
              <w:t>AVT-STB-301-A2 Stability Trend Figures (APPROVED)</w:t>
            </w:r>
          </w:p>
        </w:tc>
        <w:tc>
          <w:tcPr>
            <w:tcW w:type="dxa" w:w="3969"/>
          </w:tcPr>
          <w:p>
            <w:r/>
            <w:r>
              <w:rPr>
                <w:sz w:val="17"/>
              </w:rPr>
              <w:t>Assay and Impurity A figures both carry a plotted and labelled 24-month point beyond the 18-month point.</w:t>
            </w:r>
          </w:p>
        </w:tc>
        <w:tc>
          <w:tcPr>
            <w:tcW w:type="dxa" w:w="4139"/>
          </w:tcPr>
          <w:p>
            <w:r/>
            <w:r>
              <w:rPr>
                <w:sz w:val="17"/>
              </w:rPr>
              <w:t>As above: no 24-month result exists in STB-AVI401-002_Long_Term_Results.xlsx, which holds 156 results across 6 timepoints (0 to 18 months).</w:t>
            </w:r>
          </w:p>
        </w:tc>
      </w:tr>
      <w:tr>
        <w:tc>
          <w:tcPr>
            <w:tcW w:type="dxa" w:w="2551"/>
          </w:tcPr>
          <w:p>
            <w:r/>
            <w:r>
              <w:rPr>
                <w:sz w:val="17"/>
              </w:rPr>
              <w:t>AVT-VAL-201 §5 figure</w:t>
            </w:r>
          </w:p>
        </w:tc>
        <w:tc>
          <w:tcPr>
            <w:tcW w:type="dxa" w:w="3969"/>
          </w:tcPr>
          <w:p>
            <w:r/>
            <w:r>
              <w:rPr>
                <w:sz w:val="17"/>
              </w:rPr>
              <w:t>Total-impurity figure plots timepoints out to 24 months for all three lots.</w:t>
            </w:r>
          </w:p>
        </w:tc>
        <w:tc>
          <w:tcPr>
            <w:tcW w:type="dxa" w:w="4139"/>
          </w:tcPr>
          <w:p>
            <w:r/>
            <w:r>
              <w:rPr>
                <w:sz w:val="17"/>
              </w:rPr>
              <w:t>Same.</w:t>
            </w:r>
          </w:p>
        </w:tc>
      </w:tr>
    </w:tbl>
    <w:p/>
    <w:p>
      <w:r>
        <w:rPr>
          <w:b w:val="0"/>
          <w:i w:val="0"/>
        </w:rPr>
        <w:t>This is the finding I would expect to be quoted back. IR point 7 says the 24-month pull "is not included in sequence 0003" and asks for it when verified. If the assessor opens the annexes that were filed in support of the 18-month leaf and sees 24-month chromatograms and a 24-month trend point, the reasonable inferences are that 24-month data existed and were not reported, or that approved records misdescribe their own content, or that samples were pulled off schedule. All three are serious, and the reference to a method version that does not exist in the file makes it worse rather than better. This must be resolved and documented before anything else is filed, and the resolution must be in a controlled record, not a verbal explanation.</w:t>
      </w:r>
    </w:p>
    <w:p>
      <w:pPr>
        <w:pStyle w:val="Heading2"/>
      </w:pPr>
      <w:r>
        <w:t>3.4 The leaf and the interim report give contradictory reasons for the intermediate study, and the dates support neither version of "significant change"</w:t>
      </w:r>
    </w:p>
    <w:tbl>
      <w:tblPr>
        <w:tblStyle w:val="TableGrid"/>
        <w:tblW w:type="auto" w:w="0"/>
        <w:tblLook w:firstColumn="1" w:firstRow="1" w:lastColumn="0" w:lastRow="0" w:noHBand="0" w:noVBand="1" w:val="04A0"/>
      </w:tblPr>
      <w:tblGrid>
        <w:gridCol w:w="4320"/>
        <w:gridCol w:w="4320"/>
      </w:tblGrid>
      <w:tr>
        <w:tc>
          <w:tcPr>
            <w:tcW w:type="dxa" w:w="2835"/>
          </w:tcPr>
          <w:p>
            <w:r/>
            <w:r>
              <w:rPr>
                <w:b/>
                <w:sz w:val="17"/>
              </w:rPr>
              <w:t>Source</w:t>
            </w:r>
          </w:p>
        </w:tc>
        <w:tc>
          <w:tcPr>
            <w:tcW w:type="dxa" w:w="7654"/>
          </w:tcPr>
          <w:p>
            <w:r/>
            <w:r>
              <w:rPr>
                <w:b/>
                <w:sz w:val="17"/>
              </w:rPr>
              <w:t>Statement</w:t>
            </w:r>
          </w:p>
        </w:tc>
      </w:tr>
      <w:tr>
        <w:tc>
          <w:tcPr>
            <w:tcW w:type="dxa" w:w="2835"/>
          </w:tcPr>
          <w:p>
            <w:r/>
            <w:r>
              <w:rPr>
                <w:sz w:val="17"/>
              </w:rPr>
              <w:t>3.2.P.8 leaf, §2 Programme design (filed, sequence 0003)</w:t>
            </w:r>
          </w:p>
        </w:tc>
        <w:tc>
          <w:tcPr>
            <w:tcW w:type="dxa" w:w="7654"/>
          </w:tcPr>
          <w:p>
            <w:r/>
            <w:r>
              <w:rPr>
                <w:sz w:val="17"/>
              </w:rPr>
              <w:t>"Intermediate study STB-AVI401-003 (30 °C / 65 per cent RH) was initiated because accelerated storage produced a significant change in Impurity A."</w:t>
            </w:r>
          </w:p>
        </w:tc>
      </w:tr>
      <w:tr>
        <w:tc>
          <w:tcPr>
            <w:tcW w:type="dxa" w:w="2835"/>
          </w:tcPr>
          <w:p>
            <w:r/>
            <w:r>
              <w:rPr>
                <w:sz w:val="17"/>
              </w:rPr>
              <w:t>AVT-STB-301 §3 (APPROVED, the report the 18-month data come from)</w:t>
            </w:r>
          </w:p>
        </w:tc>
        <w:tc>
          <w:tcPr>
            <w:tcW w:type="dxa" w:w="7654"/>
          </w:tcPr>
          <w:p>
            <w:r/>
            <w:r>
              <w:rPr>
                <w:sz w:val="17"/>
              </w:rPr>
              <w:t>"Intermediate study STB-AVI401-003 at 30 C / 65 per cent RH was placed under AVT-SOP-024 as a standing precaution for the zone II markets in the registration plan, and not in response to a finding on the accelerated study."</w:t>
            </w:r>
          </w:p>
        </w:tc>
      </w:tr>
      <w:tr>
        <w:tc>
          <w:tcPr>
            <w:tcW w:type="dxa" w:w="2835"/>
          </w:tcPr>
          <w:p>
            <w:r/>
            <w:r>
              <w:rPr>
                <w:sz w:val="17"/>
              </w:rPr>
              <w:t>AVI-401_Accelerated_and_Intermediate_Results.xlsx, Studies sheet</w:t>
            </w:r>
          </w:p>
        </w:tc>
        <w:tc>
          <w:tcPr>
            <w:tcW w:type="dxa" w:w="7654"/>
          </w:tcPr>
          <w:p>
            <w:r/>
            <w:r>
              <w:rPr>
                <w:sz w:val="17"/>
              </w:rPr>
              <w:t>STB-AVI401-001 start 2025-03-01; STB-AVI401-003 start 2025-03-01. The accelerated 6-month results were reported 2025-09-10 to 2025-09-15.</w:t>
            </w:r>
          </w:p>
        </w:tc>
      </w:tr>
    </w:tbl>
    <w:p/>
    <w:p>
      <w:r>
        <w:rPr>
          <w:b w:val="0"/>
          <w:i w:val="0"/>
        </w:rPr>
        <w:t>The intermediate study began on the same day as the accelerated study, six months before the accelerated finding it is said to respond to. The leaf's causal statement cannot be true as written, and an approved internal report says the opposite. On top of that, the accelerated Impurity A result relied on (0.46 per cent on AVI401-R03) is inside the 0.50 per cent limit, so calling it a significant change under ICH Q1A(R2) is at least arguable and is not supported by any filed assessment. IR point 4 asks us to confirm exactly this treatment and to confirm that STB-AVI401-003 is the complete response to it. There is currently no correct answer available: whichever position we take, one approved document contradicts it. This needs a single documented position, and one of the two records needs correcting through change control.</w:t>
      </w:r>
    </w:p>
    <w:p>
      <w:pPr>
        <w:pStyle w:val="Heading2"/>
      </w:pPr>
      <w:r>
        <w:t>3.5 The barrier claim in the leaf rests on a third-party letter about a different film</w:t>
      </w:r>
    </w:p>
    <w:p>
      <w:r>
        <w:rPr>
          <w:b w:val="0"/>
          <w:i w:val="0"/>
        </w:rPr>
        <w:t>The leaf makes the marketed overwrap part of the control strategy for Impurity A and cites "BF-51, EVOH with 32 mol per cent ethylene, oxygen transmission 2.4 cm³/m²·d·bar at 23 °C / 65 per cent RH". The only place that number appears in the file is the reference column of HFC-QN-2026-074, a notification from Helion Film Converting offering a different material (HF-55, EVOH-44) as an alternate source — a letter that expressly states Helion "do not represent that HF-55 matches the oxygen barrier of the currently purchased BF-51 film" and that the acceptability of the difference "remains Havenor's".</w:t>
      </w:r>
    </w:p>
    <w:p>
      <w:pPr>
        <w:pStyle w:val="ListBullet"/>
      </w:pPr>
      <w:r>
        <w:t>No Havenor-controlled record establishes the BF-51 oxygen-transmission rate. AVT-VAL-201 (container compatibility) contains no barrier data, no OTR and no headspace measurement.</w:t>
      </w:r>
    </w:p>
    <w:p>
      <w:pPr>
        <w:pStyle w:val="ListBullet"/>
      </w:pPr>
      <w:r>
        <w:t>There is no residual-headspace-oxygen measurement or control anywhere in the file for either the 100 mL or the 250 mL fill, although the leaf attributes the Impurity A rate partly to it and to the difference in headspace-to-volume ratio between presentations.</w:t>
      </w:r>
    </w:p>
    <w:p>
      <w:pPr>
        <w:pStyle w:val="ListBullet"/>
      </w:pPr>
      <w:r>
        <w:t>AVT-CMC-041 (draft) lists "Barrier performance — comparative barrier assessment" as Open, and CC-AVI401-017 shows the overwrap change at technical_assessment with regulatory assessment not started. So the site knows the barrier evidence is not built.</w:t>
      </w:r>
    </w:p>
    <w:p>
      <w:r>
        <w:rPr>
          <w:b w:val="0"/>
          <w:i w:val="0"/>
        </w:rPr>
        <w:t>IR point 3 asks for the OTR at a humidity relevant to 25 °C / 60 per cent RH storage, for how headspace oxygen was controlled or measured, and for a document and page if the values sit in supplier files. Answering it by pointing to a competitor supplier's reference column, or by pointing back at the stability summary that made the claim, will not hold. The honest answer is that the measurement is not in the file, and the letter explicitly invites us to say so rather than restate the leaf.</w:t>
      </w:r>
    </w:p>
    <w:p>
      <w:pPr>
        <w:pStyle w:val="Heading2"/>
      </w:pPr>
      <w:r>
        <w:t>3.6 The container and administration-set reports are three copies of one dataset</w:t>
      </w:r>
    </w:p>
    <w:p>
      <w:r>
        <w:rPr>
          <w:b w:val="0"/>
          <w:i w:val="0"/>
        </w:rPr>
        <w:t>AVT-VAL-201 (VAL-CCS-COMP-005, container compatibility), AVT-VAL-202 (VAL-CCS-SEAL-007, seal integrity) and AVT-VAL-203 (VAL-CCS-ADMIN-003, administration-set compatibility) all carry version 1.0, effective 2025-01-16, the same preparer, reviewer and approver, and an identical §4 executed-results table: assay 100.1 to 99.8 per cent, total impurities 0.18 to 0.24 per cent, pH 5.21 to 5.19, and identical Pass entries. They also share identical §3 challenge descriptions, identical deviation entries (an 18-minute delayed transfer and a transposed serial number) and, in 202 and 203, the same filter-train process diagram.</w:t>
      </w:r>
    </w:p>
    <w:p>
      <w:pPr>
        <w:pStyle w:val="ListBullet"/>
      </w:pPr>
      <w:r>
        <w:t>AVT-VAL-203 contains no administration-set content at all: no infusion duration, no set materials, no leachable fractions, no last-fraction result. IR point 6 asks for precisely those three things.</w:t>
      </w:r>
    </w:p>
    <w:p>
      <w:pPr>
        <w:pStyle w:val="ListBullet"/>
      </w:pPr>
      <w:r>
        <w:t>AVT-VAL-202 contains no vacuum-decay or seal-specific measurement, only the generic table.</w:t>
      </w:r>
    </w:p>
    <w:p>
      <w:pPr>
        <w:pStyle w:val="ListBullet"/>
      </w:pPr>
      <w:r>
        <w:t>The AVT-VAL-201 figure is labelled "Specification limit 2.0" for total impurities; the specification limit in AVT-SPEC-018 is 1.0 per cent, and the report's own criterion is an increase of not more than 0.20 per cent. The label matches neither.</w:t>
      </w:r>
    </w:p>
    <w:p>
      <w:r>
        <w:rPr>
          <w:b w:val="0"/>
          <w:i w:val="0"/>
        </w:rPr>
        <w:t>Three approved reports supporting a filed dossier that share one dataset is the kind of thing that turns a document review into a data-integrity discussion. It also means the technical questions in IR point 6 cannot be answered from these reports as written.</w:t>
      </w:r>
    </w:p>
    <w:p>
      <w:pPr>
        <w:pStyle w:val="Heading1"/>
      </w:pPr>
      <w:r>
        <w:t>4. Findings that are defensible but will cost time in an inspection</w:t>
      </w:r>
    </w:p>
    <w:p>
      <w:pPr>
        <w:pStyle w:val="Heading2"/>
      </w:pPr>
      <w:r>
        <w:t>4.1 The 36-month shelf life is asserted with no statistics anywhere in the file</w:t>
      </w:r>
    </w:p>
    <w:p>
      <w:r>
        <w:rPr>
          <w:b w:val="0"/>
          <w:i w:val="0"/>
        </w:rPr>
        <w:t>The leaf states that "a formal statistical shelf-life calculation to 36 months is not claimed in this sequence" while retaining a 36-month proposed shelf life — the exact tension IR point 2 picks up. There is no regression, no residual standard error and no confidence-bound calculation in any filed record. The only projections in existence are in an unapproved working workbook, and they carry errors that would be fatal if they were ever handed over as they stand: AVI401-R02 is described as 250 mL and AVI401-R03 as 500 mL, whereas the filed lot table and STB-AVI401-002_Long_Term_Results.xlsx have R01 and R02 at 100 mL and R03 at 250 mL, and no 500 mL presentation exists. The same sheet labels R02 the worst case, while every filed record makes R03 the worst case. The 36-month projection for R03 in that sheet is 0.49 per cent against a 0.50 per cent limit with no residual error stated, which is not a margin anyone should be filing without a bound.</w:t>
      </w:r>
    </w:p>
    <w:p>
      <w:pPr>
        <w:pStyle w:val="Heading2"/>
      </w:pPr>
      <w:r>
        <w:t>4.2 LAB-2025-114 has no investigation record</w:t>
      </w:r>
    </w:p>
    <w:p>
      <w:r>
        <w:rPr>
          <w:b w:val="0"/>
          <w:i w:val="0"/>
        </w:rPr>
        <w:t>The event exists only as a row in AVI-401_Accelerated_and_Intermediate_Results.xlsx: raised 2025-09-04, closed 2025-09-16, "Mobile-phase preparation error confirmed against the balance printout; system-suitability tailing outside method limits", original run invalidated, reportable result taken from a confirmatory run. There is no laboratory investigation report in Quality/Laboratory Investigations (which does hold LAB-INV-2026-014 for AVI-355, so the expected form of record plainly exists). There is also no documented assessment of whether the same mobile-phase preparation affected other injections in that campaign — which is the second half of IR point 4. Note also that the R02 accelerated 6-month Impurity B reportable value (0.14 per cent) carries a reported date of 2025-09-10, six days before the event that decided which run was reportable was closed. Three approved validation reports (AVT-VAL-201/202/203) cite LAB-2025-114 as "reviewed, no data reused", which draws attention to it without documenting it.</w:t>
      </w:r>
    </w:p>
    <w:p>
      <w:pPr>
        <w:pStyle w:val="Heading2"/>
      </w:pPr>
      <w:r>
        <w:t>4.3 The filter reports' worst-case bounds cannot be tied to production from the file</w:t>
      </w:r>
    </w:p>
    <w:p>
      <w:r>
        <w:rPr>
          <w:b w:val="0"/>
          <w:i w:val="0"/>
        </w:rPr>
        <w:t>AVT-VAL-104, 105, 106 and 107 all rest on a 47 mm PVDF disc representing the 254 mm production cartridge, with eight-hour product contact at 30 °C and 2.1 bar. Nothing in the file states the intended production filtration time and temperature, and nothing states the scale-down area-to-mass ratio or shows it to be conservative. AVT-SOP-040 Hold Time Management contains no numeric hold limits, and AVT-MFG-PCS-012 refers hold-time control to the master production record, which is not in the file. IR point 5 warns in terms that any filtered-bulk hold beyond eight hours "is not covered by the reports as written". We cannot currently confirm or deny that from records.</w:t>
      </w:r>
    </w:p>
    <w:p>
      <w:pPr>
        <w:pStyle w:val="Heading2"/>
      </w:pPr>
      <w:r>
        <w:t>4.4 Total impurities are omitted from the accelerated and intermediate tables in the leaf</w:t>
      </w:r>
    </w:p>
    <w:p>
      <w:r>
        <w:rPr>
          <w:b w:val="0"/>
          <w:i w:val="0"/>
        </w:rPr>
        <w:t>AVT-SPEC-018 §3 designates total impurities stability indicating and requires it at every timepoint, and the data exist: accelerated 6 months reaches 0.65 per cent on AVI401-R03, intermediate 12 months reaches 0.62 per cent. The leaf's accelerated and intermediate tables report only assay, Impurity A and Impurity B. The omission is not favourable to anyone — the values are well inside the 1.0 per cent limit — but a selective table in a filed leaf is a poor thing to have to explain, particularly next to a total-impurity value of 0.51 per cent at 18 months long-term on the same lot.</w:t>
      </w:r>
    </w:p>
    <w:p>
      <w:pPr>
        <w:pStyle w:val="Heading2"/>
      </w:pPr>
      <w:r>
        <w:t>4.5 Document identity and control defects on the face of the filed set</w:t>
      </w:r>
    </w:p>
    <w:p>
      <w:pPr>
        <w:pStyle w:val="ListBullet"/>
      </w:pPr>
      <w:r>
        <w:t>The leaf, the study workbooks and the validation reports all cite specification "AVI401-SPEC-v03" and process "AVI401-PROC-v04". No document with either identifier exists in the file; the controlled specification is AVT-SPEC-018 version 03. An assessor asking for AVI401-SPEC-v03 will be told it does not exist under that name.</w:t>
      </w:r>
    </w:p>
    <w:p>
      <w:pPr>
        <w:pStyle w:val="ListBullet"/>
      </w:pPr>
      <w:r>
        <w:t>The governing protocol AVT-STB-102 version 02 is not in the file. Only appendix 4 is (AVT-STB-102-A4 v2.0, effective 2026-11-30). Its own revision history records that the previous version's asset list "was removed after it was found to have gone stale against the specification", and version 1.0 — the appendix in force while every filed result was generated — is not retained in the file.</w:t>
      </w:r>
    </w:p>
    <w:p>
      <w:pPr>
        <w:pStyle w:val="ListBullet"/>
      </w:pPr>
      <w:r>
        <w:t>The 3.2.P.8 leaf describes itself as a "Working copy of the Module 3.2.P.8 leaf filed with sequence 0003" while carrying status EFFECTIVE. Whatever it is internally, that sentence should not be in a filed submission document.</w:t>
      </w:r>
    </w:p>
    <w:p>
      <w:pPr>
        <w:pStyle w:val="ListBullet"/>
      </w:pPr>
      <w:r>
        <w:t>Concentration of authorship: the same QC Stability Scientist prepared AVT-SPEC-018, AVT-STB-102-A4, every asset record in the chain folder including all six "external calibration certificates" and all five reference-standard certificates, AVT-VAL-201/202/203, and reviewed the 3.2.P.8 leaf — and is the author of the 24-month decision package now awaiting QC sign-off. Nothing here is wrong on its face, but an inspector who finds 3.1 and 3.3 will look at authorship next, and there is no independent hand in the chain evidence.</w:t>
      </w:r>
    </w:p>
    <w:p>
      <w:pPr>
        <w:pStyle w:val="Heading1"/>
      </w:pPr>
      <w:r>
        <w:t>5. The information request, against what the file can actually support</w:t>
      </w:r>
    </w:p>
    <w:tbl>
      <w:tblPr>
        <w:tblStyle w:val="TableGrid"/>
        <w:tblW w:type="auto" w:w="0"/>
        <w:tblLook w:firstColumn="1" w:firstRow="1" w:lastColumn="0" w:lastRow="0" w:noHBand="0" w:noVBand="1" w:val="04A0"/>
      </w:tblPr>
      <w:tblGrid>
        <w:gridCol w:w="2880"/>
        <w:gridCol w:w="2880"/>
        <w:gridCol w:w="2880"/>
      </w:tblGrid>
      <w:tr>
        <w:tc>
          <w:tcPr>
            <w:tcW w:type="dxa" w:w="2381"/>
          </w:tcPr>
          <w:p>
            <w:r/>
            <w:r>
              <w:rPr>
                <w:b/>
                <w:sz w:val="17"/>
              </w:rPr>
              <w:t>IR point</w:t>
            </w:r>
          </w:p>
        </w:tc>
        <w:tc>
          <w:tcPr>
            <w:tcW w:type="dxa" w:w="2041"/>
          </w:tcPr>
          <w:p>
            <w:r/>
            <w:r>
              <w:rPr>
                <w:b/>
                <w:sz w:val="17"/>
              </w:rPr>
              <w:t>Can it be answered from filed records today?</w:t>
            </w:r>
          </w:p>
        </w:tc>
        <w:tc>
          <w:tcPr>
            <w:tcW w:type="dxa" w:w="6066"/>
          </w:tcPr>
          <w:p>
            <w:r/>
            <w:r>
              <w:rPr>
                <w:b/>
                <w:sz w:val="17"/>
              </w:rPr>
              <w:t>Blocking gap</w:t>
            </w:r>
          </w:p>
        </w:tc>
      </w:tr>
      <w:tr>
        <w:tc>
          <w:tcPr>
            <w:tcW w:type="dxa" w:w="2381"/>
          </w:tcPr>
          <w:p>
            <w:r/>
            <w:r>
              <w:rPr>
                <w:sz w:val="17"/>
              </w:rPr>
              <w:t>1. P.7 bookmarking</w:t>
            </w:r>
          </w:p>
        </w:tc>
        <w:tc>
          <w:tcPr>
            <w:tcW w:type="dxa" w:w="2041"/>
          </w:tcPr>
          <w:p>
            <w:r/>
            <w:r>
              <w:rPr>
                <w:sz w:val="17"/>
              </w:rPr>
              <w:t>Yes — administrative refile only.</w:t>
            </w:r>
          </w:p>
        </w:tc>
        <w:tc>
          <w:tcPr>
            <w:tcW w:type="dxa" w:w="6066"/>
          </w:tcPr>
          <w:p>
            <w:r/>
            <w:r>
              <w:rPr>
                <w:sz w:val="17"/>
              </w:rPr>
              <w:t>None.</w:t>
            </w:r>
          </w:p>
        </w:tc>
      </w:tr>
      <w:tr>
        <w:tc>
          <w:tcPr>
            <w:tcW w:type="dxa" w:w="2381"/>
          </w:tcPr>
          <w:p>
            <w:r/>
            <w:r>
              <w:rPr>
                <w:sz w:val="17"/>
              </w:rPr>
              <w:t>2. Impurity A projection to 24 and 36 months, residual standard error, worst-case pack, supported shelf life</w:t>
            </w:r>
          </w:p>
        </w:tc>
        <w:tc>
          <w:tcPr>
            <w:tcW w:type="dxa" w:w="2041"/>
          </w:tcPr>
          <w:p>
            <w:r/>
            <w:r>
              <w:rPr>
                <w:sz w:val="17"/>
              </w:rPr>
              <w:t>No.</w:t>
            </w:r>
          </w:p>
        </w:tc>
        <w:tc>
          <w:tcPr>
            <w:tcW w:type="dxa" w:w="6066"/>
          </w:tcPr>
          <w:p>
            <w:r/>
            <w:r>
              <w:rPr>
                <w:sz w:val="17"/>
              </w:rPr>
              <w:t>No statistical analysis exists in any approved record. The only projections are in an unapproved workbook with the wrong presentations and the wrong worst-case lot (4.1).</w:t>
            </w:r>
          </w:p>
        </w:tc>
      </w:tr>
      <w:tr>
        <w:tc>
          <w:tcPr>
            <w:tcW w:type="dxa" w:w="2381"/>
          </w:tcPr>
          <w:p>
            <w:r/>
            <w:r>
              <w:rPr>
                <w:sz w:val="17"/>
              </w:rPr>
              <w:t>3. Overwrap OTR at relevant humidity; headspace oxygen control or measurement; document and page</w:t>
            </w:r>
          </w:p>
        </w:tc>
        <w:tc>
          <w:tcPr>
            <w:tcW w:type="dxa" w:w="2041"/>
          </w:tcPr>
          <w:p>
            <w:r/>
            <w:r>
              <w:rPr>
                <w:sz w:val="17"/>
              </w:rPr>
              <w:t>No.</w:t>
            </w:r>
          </w:p>
        </w:tc>
        <w:tc>
          <w:tcPr>
            <w:tcW w:type="dxa" w:w="6066"/>
          </w:tcPr>
          <w:p>
            <w:r/>
            <w:r>
              <w:rPr>
                <w:sz w:val="17"/>
              </w:rPr>
              <w:t>The only OTR figure traces to a third-party notification about a different film; no headspace data exist; AVT-VAL-201 has no barrier content (3.5).</w:t>
            </w:r>
          </w:p>
        </w:tc>
      </w:tr>
      <w:tr>
        <w:tc>
          <w:tcPr>
            <w:tcW w:type="dxa" w:w="2381"/>
          </w:tcPr>
          <w:p>
            <w:r/>
            <w:r>
              <w:rPr>
                <w:sz w:val="17"/>
              </w:rPr>
              <w:t>4. Significant-change treatment; STB-AVI401-003 as the complete response; LAB-2025-114 cause, replacement result, campaign impact</w:t>
            </w:r>
          </w:p>
        </w:tc>
        <w:tc>
          <w:tcPr>
            <w:tcW w:type="dxa" w:w="2041"/>
          </w:tcPr>
          <w:p>
            <w:r/>
            <w:r>
              <w:rPr>
                <w:sz w:val="17"/>
              </w:rPr>
              <w:t>No.</w:t>
            </w:r>
          </w:p>
        </w:tc>
        <w:tc>
          <w:tcPr>
            <w:tcW w:type="dxa" w:w="6066"/>
          </w:tcPr>
          <w:p>
            <w:r/>
            <w:r>
              <w:rPr>
                <w:sz w:val="17"/>
              </w:rPr>
              <w:t>The leaf and AVT-STB-301 contradict each other on why the intermediate study exists, and the start dates contradict the leaf (3.4). LAB-2025-114 has no investigation record and no campaign assessment (4.2). Impurity B method revalidation predates the analyte (3.2).</w:t>
            </w:r>
          </w:p>
        </w:tc>
      </w:tr>
      <w:tr>
        <w:tc>
          <w:tcPr>
            <w:tcW w:type="dxa" w:w="2381"/>
          </w:tcPr>
          <w:p>
            <w:r/>
            <w:r>
              <w:rPr>
                <w:sz w:val="17"/>
              </w:rPr>
              <w:t>5. Production filtration time and temperature inside 8 h / 30 °C / 2.1 bar; scale-down conservatism</w:t>
            </w:r>
          </w:p>
        </w:tc>
        <w:tc>
          <w:tcPr>
            <w:tcW w:type="dxa" w:w="2041"/>
          </w:tcPr>
          <w:p>
            <w:r/>
            <w:r>
              <w:rPr>
                <w:sz w:val="17"/>
              </w:rPr>
              <w:t>No.</w:t>
            </w:r>
          </w:p>
        </w:tc>
        <w:tc>
          <w:tcPr>
            <w:tcW w:type="dxa" w:w="6066"/>
          </w:tcPr>
          <w:p>
            <w:r/>
            <w:r>
              <w:rPr>
                <w:sz w:val="17"/>
              </w:rPr>
              <w:t>No filed record states production filtration time, temperature, hold limit or area-to-mass ratio (4.3).</w:t>
            </w:r>
          </w:p>
        </w:tc>
      </w:tr>
      <w:tr>
        <w:tc>
          <w:tcPr>
            <w:tcW w:type="dxa" w:w="2381"/>
          </w:tcPr>
          <w:p>
            <w:r/>
            <w:r>
              <w:rPr>
                <w:sz w:val="17"/>
              </w:rPr>
              <w:t>6. Infusion duration, set materials, leachables in the last fraction</w:t>
            </w:r>
          </w:p>
        </w:tc>
        <w:tc>
          <w:tcPr>
            <w:tcW w:type="dxa" w:w="2041"/>
          </w:tcPr>
          <w:p>
            <w:r/>
            <w:r>
              <w:rPr>
                <w:sz w:val="17"/>
              </w:rPr>
              <w:t>No.</w:t>
            </w:r>
          </w:p>
        </w:tc>
        <w:tc>
          <w:tcPr>
            <w:tcW w:type="dxa" w:w="6066"/>
          </w:tcPr>
          <w:p>
            <w:r/>
            <w:r>
              <w:rPr>
                <w:sz w:val="17"/>
              </w:rPr>
              <w:t>AVT-VAL-203 contains no administration-set data; it duplicates AVT-VAL-201 (3.6).</w:t>
            </w:r>
          </w:p>
        </w:tc>
      </w:tr>
      <w:tr>
        <w:tc>
          <w:tcPr>
            <w:tcW w:type="dxa" w:w="2381"/>
          </w:tcPr>
          <w:p>
            <w:r/>
            <w:r>
              <w:rPr>
                <w:sz w:val="17"/>
              </w:rPr>
              <w:t>7. 24-month data when verified</w:t>
            </w:r>
          </w:p>
        </w:tc>
        <w:tc>
          <w:tcPr>
            <w:tcW w:type="dxa" w:w="2041"/>
          </w:tcPr>
          <w:p>
            <w:r/>
            <w:r>
              <w:rPr>
                <w:sz w:val="17"/>
              </w:rPr>
              <w:t>Not yet, and this is now entangled with 3.3.</w:t>
            </w:r>
          </w:p>
        </w:tc>
        <w:tc>
          <w:tcPr>
            <w:tcW w:type="dxa" w:w="6066"/>
          </w:tcPr>
          <w:p>
            <w:r/>
            <w:r>
              <w:rPr>
                <w:sz w:val="17"/>
              </w:rPr>
              <w:t>The pull is Scheduled / Pending for 2027-03-01, yet approved annexes already show 24-month chromatograms and a 24-month trend point. That must be explained before any 24-month package is submitted.</w:t>
            </w:r>
          </w:p>
        </w:tc>
      </w:tr>
    </w:tbl>
    <w:p/>
    <w:p>
      <w:r>
        <w:rPr>
          <w:b w:val="0"/>
          <w:i w:val="0"/>
        </w:rPr>
        <w:t>The letter is explicit that "where a calculation or a measurement is not in the file, say so rather than restating the leaf". For points 3, 5 and 6 the correct response is a statement that the value is not in the file plus a commitment, not a citation. The draft positions currently sitting in the working folder do the opposite for point 3 ("current stability summary confirms control") and for point 4 ("no separate action"), and those should not go out in that form.</w:t>
      </w:r>
    </w:p>
    <w:p>
      <w:pPr>
        <w:pStyle w:val="Heading1"/>
      </w:pPr>
      <w:r>
        <w:t>6. What I would require before signing</w:t>
      </w:r>
    </w:p>
    <w:tbl>
      <w:tblPr>
        <w:tblStyle w:val="TableGrid"/>
        <w:tblW w:type="auto" w:w="0"/>
        <w:tblLook w:firstColumn="1" w:firstRow="1" w:lastColumn="0" w:lastRow="0" w:noHBand="0" w:noVBand="1" w:val="04A0"/>
      </w:tblPr>
      <w:tblGrid>
        <w:gridCol w:w="2160"/>
        <w:gridCol w:w="2160"/>
        <w:gridCol w:w="2160"/>
        <w:gridCol w:w="2160"/>
      </w:tblGrid>
      <w:tr>
        <w:tc>
          <w:tcPr>
            <w:tcW w:type="dxa" w:w="567"/>
          </w:tcPr>
          <w:p>
            <w:r/>
            <w:r>
              <w:rPr>
                <w:b/>
                <w:sz w:val="17"/>
              </w:rPr>
              <w:t>#</w:t>
            </w:r>
          </w:p>
        </w:tc>
        <w:tc>
          <w:tcPr>
            <w:tcW w:type="dxa" w:w="4876"/>
          </w:tcPr>
          <w:p>
            <w:r/>
            <w:r>
              <w:rPr>
                <w:b/>
                <w:sz w:val="17"/>
              </w:rPr>
              <w:t>Action</w:t>
            </w:r>
          </w:p>
        </w:tc>
        <w:tc>
          <w:tcPr>
            <w:tcW w:type="dxa" w:w="1814"/>
          </w:tcPr>
          <w:p>
            <w:r/>
            <w:r>
              <w:rPr>
                <w:b/>
                <w:sz w:val="17"/>
              </w:rPr>
              <w:t>Suggested owner</w:t>
            </w:r>
          </w:p>
        </w:tc>
        <w:tc>
          <w:tcPr>
            <w:tcW w:type="dxa" w:w="3231"/>
          </w:tcPr>
          <w:p>
            <w:r/>
            <w:r>
              <w:rPr>
                <w:b/>
                <w:sz w:val="17"/>
              </w:rPr>
              <w:t>Why it blocks signature</w:t>
            </w:r>
          </w:p>
        </w:tc>
      </w:tr>
      <w:tr>
        <w:tc>
          <w:tcPr>
            <w:tcW w:type="dxa" w:w="567"/>
          </w:tcPr>
          <w:p>
            <w:r/>
            <w:r>
              <w:rPr>
                <w:sz w:val="17"/>
              </w:rPr>
              <w:t>1</w:t>
            </w:r>
          </w:p>
        </w:tc>
        <w:tc>
          <w:tcPr>
            <w:tcW w:type="dxa" w:w="4876"/>
          </w:tcPr>
          <w:p>
            <w:r/>
            <w:r>
              <w:rPr>
                <w:sz w:val="17"/>
              </w:rPr>
              <w:t>Establish and file, per asset, the qualification and calibration history covering 2025-02 to 2026-09 for CHM-25-03, HPLC-04, PH-03, OSM-02, PM-01, CCI-02, INC-03 and the six reference standards. Where a record does not exist, raise a deviation and perform a documented retrospective impact assessment on the affected reported results.</w:t>
            </w:r>
          </w:p>
        </w:tc>
        <w:tc>
          <w:tcPr>
            <w:tcW w:type="dxa" w:w="1814"/>
          </w:tcPr>
          <w:p>
            <w:r/>
            <w:r>
              <w:rPr>
                <w:sz w:val="17"/>
              </w:rPr>
              <w:t>QC Stability / Metrology / QA</w:t>
            </w:r>
          </w:p>
        </w:tc>
        <w:tc>
          <w:tcPr>
            <w:tcW w:type="dxa" w:w="3231"/>
          </w:tcPr>
          <w:p>
            <w:r/>
            <w:r>
              <w:rPr>
                <w:sz w:val="17"/>
              </w:rPr>
              <w:t>Without this the filed 18-month dataset has no demonstrable qualified-state basis (3.1).</w:t>
            </w:r>
          </w:p>
        </w:tc>
      </w:tr>
      <w:tr>
        <w:tc>
          <w:tcPr>
            <w:tcW w:type="dxa" w:w="567"/>
          </w:tcPr>
          <w:p>
            <w:r/>
            <w:r>
              <w:rPr>
                <w:sz w:val="17"/>
              </w:rPr>
              <w:t>2</w:t>
            </w:r>
          </w:p>
        </w:tc>
        <w:tc>
          <w:tcPr>
            <w:tcW w:type="dxa" w:w="4876"/>
          </w:tcPr>
          <w:p>
            <w:r/>
            <w:r>
              <w:rPr>
                <w:sz w:val="17"/>
              </w:rPr>
              <w:t>Produce the CHM-25-03 requalification report, or a deviation recording that requalification lapsed, with the interval calculated from a defensible date. Stop justifying chamber qualification by calibration in any document, including the 24-month readiness package.</w:t>
            </w:r>
          </w:p>
        </w:tc>
        <w:tc>
          <w:tcPr>
            <w:tcW w:type="dxa" w:w="1814"/>
          </w:tcPr>
          <w:p>
            <w:r/>
            <w:r>
              <w:rPr>
                <w:sz w:val="17"/>
              </w:rPr>
              <w:t>Validation / QC Stability</w:t>
            </w:r>
          </w:p>
        </w:tc>
        <w:tc>
          <w:tcPr>
            <w:tcW w:type="dxa" w:w="3231"/>
          </w:tcPr>
          <w:p>
            <w:r/>
            <w:r>
              <w:rPr>
                <w:sz w:val="17"/>
              </w:rPr>
              <w:t>Chamber state is a condition of every result and the 24-month pull is due 2027-03-01 (3.1).</w:t>
            </w:r>
          </w:p>
        </w:tc>
      </w:tr>
      <w:tr>
        <w:tc>
          <w:tcPr>
            <w:tcW w:type="dxa" w:w="567"/>
          </w:tcPr>
          <w:p>
            <w:r/>
            <w:r>
              <w:rPr>
                <w:sz w:val="17"/>
              </w:rPr>
              <w:t>3</w:t>
            </w:r>
          </w:p>
        </w:tc>
        <w:tc>
          <w:tcPr>
            <w:tcW w:type="dxa" w:w="4876"/>
          </w:tcPr>
          <w:p>
            <w:r/>
            <w:r>
              <w:rPr>
                <w:sz w:val="17"/>
              </w:rPr>
              <w:t>Reconcile AVT-STB-301-A1 and A2, and the AVT-VAL-201 figure, with the actual study status. Determine whether 24-month samples were tested; document the outcome in a controlled record; correct or withdraw the annexes; and resolve the reference to MTH-HPLC-012 v04.</w:t>
            </w:r>
          </w:p>
        </w:tc>
        <w:tc>
          <w:tcPr>
            <w:tcW w:type="dxa" w:w="1814"/>
          </w:tcPr>
          <w:p>
            <w:r/>
            <w:r>
              <w:rPr>
                <w:sz w:val="17"/>
              </w:rPr>
              <w:t>QC Stability / QA</w:t>
            </w:r>
          </w:p>
        </w:tc>
        <w:tc>
          <w:tcPr>
            <w:tcW w:type="dxa" w:w="3231"/>
          </w:tcPr>
          <w:p>
            <w:r/>
            <w:r>
              <w:rPr>
                <w:sz w:val="17"/>
              </w:rPr>
              <w:t>Highest-severity reading risk in the filed set (3.3).</w:t>
            </w:r>
          </w:p>
        </w:tc>
      </w:tr>
      <w:tr>
        <w:tc>
          <w:tcPr>
            <w:tcW w:type="dxa" w:w="567"/>
          </w:tcPr>
          <w:p>
            <w:r/>
            <w:r>
              <w:rPr>
                <w:sz w:val="17"/>
              </w:rPr>
              <w:t>4</w:t>
            </w:r>
          </w:p>
        </w:tc>
        <w:tc>
          <w:tcPr>
            <w:tcW w:type="dxa" w:w="4876"/>
          </w:tcPr>
          <w:p>
            <w:r/>
            <w:r>
              <w:rPr>
                <w:sz w:val="17"/>
              </w:rPr>
              <w:t>Agree one documented position on the intermediate study and on significant change, and correct whichever of the leaf or AVT-STB-301 is wrong through change control before the next sequence.</w:t>
            </w:r>
          </w:p>
        </w:tc>
        <w:tc>
          <w:tcPr>
            <w:tcW w:type="dxa" w:w="1814"/>
          </w:tcPr>
          <w:p>
            <w:r/>
            <w:r>
              <w:rPr>
                <w:sz w:val="17"/>
              </w:rPr>
              <w:t>Regulatory CMC / QC Stability</w:t>
            </w:r>
          </w:p>
        </w:tc>
        <w:tc>
          <w:tcPr>
            <w:tcW w:type="dxa" w:w="3231"/>
          </w:tcPr>
          <w:p>
            <w:r/>
            <w:r>
              <w:rPr>
                <w:sz w:val="17"/>
              </w:rPr>
              <w:t>Two approved records contradict each other on a point the authority has asked about (3.4).</w:t>
            </w:r>
          </w:p>
        </w:tc>
      </w:tr>
      <w:tr>
        <w:tc>
          <w:tcPr>
            <w:tcW w:type="dxa" w:w="567"/>
          </w:tcPr>
          <w:p>
            <w:r/>
            <w:r>
              <w:rPr>
                <w:sz w:val="17"/>
              </w:rPr>
              <w:t>5</w:t>
            </w:r>
          </w:p>
        </w:tc>
        <w:tc>
          <w:tcPr>
            <w:tcW w:type="dxa" w:w="4876"/>
          </w:tcPr>
          <w:p>
            <w:r/>
            <w:r>
              <w:rPr>
                <w:sz w:val="17"/>
              </w:rPr>
              <w:t>Obtain a controlled BF-51 barrier record and a headspace-oxygen basis for both fills, or state plainly in the response that neither is in the file and commit to generating them.</w:t>
            </w:r>
          </w:p>
        </w:tc>
        <w:tc>
          <w:tcPr>
            <w:tcW w:type="dxa" w:w="1814"/>
          </w:tcPr>
          <w:p>
            <w:r/>
            <w:r>
              <w:rPr>
                <w:sz w:val="17"/>
              </w:rPr>
              <w:t>MSAT / Packaging Engineering / Regulatory CMC</w:t>
            </w:r>
          </w:p>
        </w:tc>
        <w:tc>
          <w:tcPr>
            <w:tcW w:type="dxa" w:w="3231"/>
          </w:tcPr>
          <w:p>
            <w:r/>
            <w:r>
              <w:rPr>
                <w:sz w:val="17"/>
              </w:rPr>
              <w:t>The filed control-strategy claim is currently unsupported (3.5).</w:t>
            </w:r>
          </w:p>
        </w:tc>
      </w:tr>
      <w:tr>
        <w:tc>
          <w:tcPr>
            <w:tcW w:type="dxa" w:w="567"/>
          </w:tcPr>
          <w:p>
            <w:r/>
            <w:r>
              <w:rPr>
                <w:sz w:val="17"/>
              </w:rPr>
              <w:t>6</w:t>
            </w:r>
          </w:p>
        </w:tc>
        <w:tc>
          <w:tcPr>
            <w:tcW w:type="dxa" w:w="4876"/>
          </w:tcPr>
          <w:p>
            <w:r/>
            <w:r>
              <w:rPr>
                <w:sz w:val="17"/>
              </w:rPr>
              <w:t>Perform and file the Impurity A statistical analysis per lot with residual error and one-sided bound, using the correct presentations, before any shelf-life statement is repeated.</w:t>
            </w:r>
          </w:p>
        </w:tc>
        <w:tc>
          <w:tcPr>
            <w:tcW w:type="dxa" w:w="1814"/>
          </w:tcPr>
          <w:p>
            <w:r/>
            <w:r>
              <w:rPr>
                <w:sz w:val="17"/>
              </w:rPr>
              <w:t>QC Stability</w:t>
            </w:r>
          </w:p>
        </w:tc>
        <w:tc>
          <w:tcPr>
            <w:tcW w:type="dxa" w:w="3231"/>
          </w:tcPr>
          <w:p>
            <w:r/>
            <w:r>
              <w:rPr>
                <w:sz w:val="17"/>
              </w:rPr>
              <w:t>IR point 2; and the working projections are wrong as they stand (4.1).</w:t>
            </w:r>
          </w:p>
        </w:tc>
      </w:tr>
      <w:tr>
        <w:tc>
          <w:tcPr>
            <w:tcW w:type="dxa" w:w="567"/>
          </w:tcPr>
          <w:p>
            <w:r/>
            <w:r>
              <w:rPr>
                <w:sz w:val="17"/>
              </w:rPr>
              <w:t>7</w:t>
            </w:r>
          </w:p>
        </w:tc>
        <w:tc>
          <w:tcPr>
            <w:tcW w:type="dxa" w:w="4876"/>
          </w:tcPr>
          <w:p>
            <w:r/>
            <w:r>
              <w:rPr>
                <w:sz w:val="17"/>
              </w:rPr>
              <w:t>Raise and file a laboratory investigation record for LAB-2025-114, including the campaign-wide assessment, and reconcile the reportable-result date with the closure date.</w:t>
            </w:r>
          </w:p>
        </w:tc>
        <w:tc>
          <w:tcPr>
            <w:tcW w:type="dxa" w:w="1814"/>
          </w:tcPr>
          <w:p>
            <w:r/>
            <w:r>
              <w:rPr>
                <w:sz w:val="17"/>
              </w:rPr>
              <w:t>QC / QA</w:t>
            </w:r>
          </w:p>
        </w:tc>
        <w:tc>
          <w:tcPr>
            <w:tcW w:type="dxa" w:w="3231"/>
          </w:tcPr>
          <w:p>
            <w:r/>
            <w:r>
              <w:rPr>
                <w:sz w:val="17"/>
              </w:rPr>
              <w:t>IR point 4 and a visible chronology defect (4.2).</w:t>
            </w:r>
          </w:p>
        </w:tc>
      </w:tr>
      <w:tr>
        <w:tc>
          <w:tcPr>
            <w:tcW w:type="dxa" w:w="567"/>
          </w:tcPr>
          <w:p>
            <w:r/>
            <w:r>
              <w:rPr>
                <w:sz w:val="17"/>
              </w:rPr>
              <w:t>8</w:t>
            </w:r>
          </w:p>
        </w:tc>
        <w:tc>
          <w:tcPr>
            <w:tcW w:type="dxa" w:w="4876"/>
          </w:tcPr>
          <w:p>
            <w:r/>
            <w:r>
              <w:rPr>
                <w:sz w:val="17"/>
              </w:rPr>
              <w:t>Either generate administration-set and seal-integrity data specific to AVT-VAL-203 and AVT-VAL-202, or withdraw the claim that those reports support the filed content, and correct the duplicated tables and the mislabelled specification limit.</w:t>
            </w:r>
          </w:p>
        </w:tc>
        <w:tc>
          <w:tcPr>
            <w:tcW w:type="dxa" w:w="1814"/>
          </w:tcPr>
          <w:p>
            <w:r/>
            <w:r>
              <w:rPr>
                <w:sz w:val="17"/>
              </w:rPr>
              <w:t>Validation / MSAT</w:t>
            </w:r>
          </w:p>
        </w:tc>
        <w:tc>
          <w:tcPr>
            <w:tcW w:type="dxa" w:w="3231"/>
          </w:tcPr>
          <w:p>
            <w:r/>
            <w:r>
              <w:rPr>
                <w:sz w:val="17"/>
              </w:rPr>
              <w:t>IR point 6 and a data-integrity reading risk (3.6).</w:t>
            </w:r>
          </w:p>
        </w:tc>
      </w:tr>
      <w:tr>
        <w:tc>
          <w:tcPr>
            <w:tcW w:type="dxa" w:w="567"/>
          </w:tcPr>
          <w:p>
            <w:r/>
            <w:r>
              <w:rPr>
                <w:sz w:val="17"/>
              </w:rPr>
              <w:t>9</w:t>
            </w:r>
          </w:p>
        </w:tc>
        <w:tc>
          <w:tcPr>
            <w:tcW w:type="dxa" w:w="4876"/>
          </w:tcPr>
          <w:p>
            <w:r/>
            <w:r>
              <w:rPr>
                <w:sz w:val="17"/>
              </w:rPr>
              <w:t>Confirm production filtration time, temperature and filtered-bulk hold against the validated 8 h / 30 °C / 2.1 bar bounds from the master production record, and file the scale-down justification.</w:t>
            </w:r>
          </w:p>
        </w:tc>
        <w:tc>
          <w:tcPr>
            <w:tcW w:type="dxa" w:w="1814"/>
          </w:tcPr>
          <w:p>
            <w:r/>
            <w:r>
              <w:rPr>
                <w:sz w:val="17"/>
              </w:rPr>
              <w:t>MSAT / Manufacturing / Validation</w:t>
            </w:r>
          </w:p>
        </w:tc>
        <w:tc>
          <w:tcPr>
            <w:tcW w:type="dxa" w:w="3231"/>
          </w:tcPr>
          <w:p>
            <w:r/>
            <w:r>
              <w:rPr>
                <w:sz w:val="17"/>
              </w:rPr>
              <w:t>IR point 5 (4.3).</w:t>
            </w:r>
          </w:p>
        </w:tc>
      </w:tr>
      <w:tr>
        <w:tc>
          <w:tcPr>
            <w:tcW w:type="dxa" w:w="567"/>
          </w:tcPr>
          <w:p>
            <w:r/>
            <w:r>
              <w:rPr>
                <w:sz w:val="17"/>
              </w:rPr>
              <w:t>10</w:t>
            </w:r>
          </w:p>
        </w:tc>
        <w:tc>
          <w:tcPr>
            <w:tcW w:type="dxa" w:w="4876"/>
          </w:tcPr>
          <w:p>
            <w:r/>
            <w:r>
              <w:rPr>
                <w:sz w:val="17"/>
              </w:rPr>
              <w:t>Correct citation and document-control defects: specification and process identifiers, filing of AVT-STB-102 v02 and retention of appendix v1.0, removal of "working copy" language from the filed leaf, and completion of the accelerated and intermediate tables with total impurities.</w:t>
            </w:r>
          </w:p>
        </w:tc>
        <w:tc>
          <w:tcPr>
            <w:tcW w:type="dxa" w:w="1814"/>
          </w:tcPr>
          <w:p>
            <w:r/>
            <w:r>
              <w:rPr>
                <w:sz w:val="17"/>
              </w:rPr>
              <w:t>Regulatory CMC / Document Control / QC Stability</w:t>
            </w:r>
          </w:p>
        </w:tc>
        <w:tc>
          <w:tcPr>
            <w:tcW w:type="dxa" w:w="3231"/>
          </w:tcPr>
          <w:p>
            <w:r/>
            <w:r>
              <w:rPr>
                <w:sz w:val="17"/>
              </w:rPr>
              <w:t>Cheap to fix, expensive to explain (4.4, 4.5).</w:t>
            </w:r>
          </w:p>
        </w:tc>
      </w:tr>
    </w:tbl>
    <w:p/>
    <w:p>
      <w:pPr>
        <w:pStyle w:val="Heading1"/>
      </w:pPr>
      <w:r>
        <w:t>7. Notes and limits of this check</w:t>
      </w:r>
    </w:p>
    <w:p>
      <w:pPr>
        <w:pStyle w:val="ListBullet"/>
      </w:pPr>
      <w:r>
        <w:t>This is a documentation review of the site file as it stands on 2027-02-09. It does not query LIMS, the CDS or QMS directly, and any of the gaps in section 3.1 may be closable by records that exist in those systems but are not in the file. That distinction matters for the assessment but not for the exposure: an inspector reads what is filed and retrievable, and asks why it took a search to find the rest.</w:t>
      </w:r>
    </w:p>
    <w:p>
      <w:pPr>
        <w:pStyle w:val="ListBullet"/>
      </w:pPr>
      <w:r>
        <w:t>No filed result was found to be outside its acceptance criterion, and the numbers in the leaf reconcile to the source workbook and to AVT-STB-301. The problems identified are with provenance, internal consistency and completeness of the supporting record set, not with the reported values.</w:t>
      </w:r>
    </w:p>
    <w:p>
      <w:pPr>
        <w:pStyle w:val="ListBullet"/>
      </w:pPr>
      <w:r>
        <w:t>The _Working/Tomas Li workbooks are drafts pending QC disposition by Viktor Takacs and are cited here only where they show a gap being carried forward into the planned response. They are not filed records and none of the errors in them is an inspection finding today — but three of them would become one if the response went out unchanged.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