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400"/>
        <w:jc w:val="center"/>
      </w:pPr>
      <w:r>
        <w:rPr>
          <w:b/>
          <w:color w:val="1F4E78"/>
          <w:sz w:val="24"/>
        </w:rPr>
        <w:t>REGULATORY CMC</w:t>
      </w:r>
    </w:p>
    <w:p>
      <w:pPr>
        <w:pStyle w:val="Title"/>
        <w:widowControl/>
        <w:jc w:val="center"/>
      </w:pPr>
      <w:r>
        <w:t>Response to Information Request</w:t>
        <w:br/>
        <w:t>HA-AVI401-IR-2027-014</w:t>
      </w:r>
    </w:p>
    <w:p>
      <w:pPr>
        <w:widowControl/>
        <w:jc w:val="center"/>
      </w:pPr>
      <w:r>
        <w:rPr>
          <w:b/>
          <w:sz w:val="28"/>
        </w:rPr>
        <w:t>Avericin Sodium Chloride Injection (AVI-401)</w:t>
      </w:r>
    </w:p>
    <w:p>
      <w:pPr>
        <w:widowControl/>
        <w:jc w:val="center"/>
      </w:pPr>
      <w:r>
        <w:rPr>
          <w:i/>
        </w:rPr>
        <w:t>Application APP-CN-AVI401-001  |  Sequence referenced 0003</w:t>
      </w:r>
    </w:p>
    <w:tbl>
      <w:tblPr>
        <w:tblStyle w:val="TableGrid"/>
        <w:tblW w:type="auto" w:w="0"/>
        <w:jc w:val="center"/>
        <w:tblLook w:firstColumn="1" w:firstRow="1" w:lastColumn="0" w:lastRow="0" w:noHBand="0" w:noVBand="1" w:val="04A0"/>
      </w:tblPr>
      <w:tblGrid>
        <w:gridCol w:w="5040"/>
        <w:gridCol w:w="5040"/>
      </w:tblGrid>
      <w:tr>
        <w:tc>
          <w:tcPr>
            <w:tcW w:type="dxa" w:w="5040"/>
            <w:shd w:fill="1F4E78"/>
            <w:tcMar>
              <w:top w:w="80" w:type="dxa"/>
              <w:start w:w="80" w:type="dxa"/>
              <w:bottom w:w="80" w:type="dxa"/>
              <w:end w:w="80" w:type="dxa"/>
            </w:tcMar>
          </w:tcPr>
          <w:p>
            <w:r>
              <w:rPr>
                <w:b/>
                <w:color w:val="FFFFFF"/>
                <w:sz w:val="18"/>
              </w:rPr>
              <w:t>Document status</w:t>
            </w:r>
          </w:p>
        </w:tc>
        <w:tc>
          <w:tcPr>
            <w:tcW w:type="dxa" w:w="5040"/>
            <w:tcMar>
              <w:top w:w="80" w:type="dxa"/>
              <w:start w:w="80" w:type="dxa"/>
              <w:bottom w:w="80" w:type="dxa"/>
              <w:end w:w="80" w:type="dxa"/>
            </w:tcMar>
          </w:tcPr>
          <w:p>
            <w:r>
              <w:rPr>
                <w:sz w:val="18"/>
              </w:rPr>
              <w:t>INTERNAL WORKING DRAFT — NOT FOR SUBMISSION</w:t>
            </w:r>
          </w:p>
        </w:tc>
      </w:tr>
      <w:tr>
        <w:tc>
          <w:tcPr>
            <w:tcW w:type="dxa" w:w="5040"/>
            <w:shd w:fill="1F4E78"/>
            <w:tcMar>
              <w:top w:w="80" w:type="dxa"/>
              <w:start w:w="80" w:type="dxa"/>
              <w:bottom w:w="80" w:type="dxa"/>
              <w:end w:w="80" w:type="dxa"/>
            </w:tcMar>
          </w:tcPr>
          <w:p>
            <w:r>
              <w:rPr>
                <w:b/>
                <w:color w:val="FFFFFF"/>
                <w:sz w:val="18"/>
              </w:rPr>
              <w:t>Prepared for</w:t>
            </w:r>
          </w:p>
        </w:tc>
        <w:tc>
          <w:tcPr>
            <w:tcW w:type="dxa" w:w="5040"/>
            <w:tcMar>
              <w:top w:w="80" w:type="dxa"/>
              <w:start w:w="80" w:type="dxa"/>
              <w:bottom w:w="80" w:type="dxa"/>
              <w:end w:w="80" w:type="dxa"/>
            </w:tcMar>
          </w:tcPr>
          <w:p>
            <w:r>
              <w:rPr>
                <w:sz w:val="18"/>
              </w:rPr>
              <w:t>Sofia Ortega, Head of Regulatory Affairs</w:t>
            </w:r>
          </w:p>
        </w:tc>
      </w:tr>
      <w:tr>
        <w:tc>
          <w:tcPr>
            <w:tcW w:type="dxa" w:w="5040"/>
            <w:shd w:fill="1F4E78"/>
            <w:tcMar>
              <w:top w:w="80" w:type="dxa"/>
              <w:start w:w="80" w:type="dxa"/>
              <w:bottom w:w="80" w:type="dxa"/>
              <w:end w:w="80" w:type="dxa"/>
            </w:tcMar>
          </w:tcPr>
          <w:p>
            <w:r>
              <w:rPr>
                <w:b/>
                <w:color w:val="FFFFFF"/>
                <w:sz w:val="18"/>
              </w:rPr>
              <w:t>Prepared by</w:t>
            </w:r>
          </w:p>
        </w:tc>
        <w:tc>
          <w:tcPr>
            <w:tcW w:type="dxa" w:w="5040"/>
            <w:tcMar>
              <w:top w:w="80" w:type="dxa"/>
              <w:start w:w="80" w:type="dxa"/>
              <w:bottom w:w="80" w:type="dxa"/>
              <w:end w:w="80" w:type="dxa"/>
            </w:tcMar>
          </w:tcPr>
          <w:p>
            <w:r>
              <w:rPr>
                <w:sz w:val="18"/>
              </w:rPr>
              <w:t>Jonas Wei, Regulatory CMC</w:t>
            </w:r>
          </w:p>
        </w:tc>
      </w:tr>
      <w:tr>
        <w:tc>
          <w:tcPr>
            <w:tcW w:type="dxa" w:w="5040"/>
            <w:shd w:fill="1F4E78"/>
            <w:tcMar>
              <w:top w:w="80" w:type="dxa"/>
              <w:start w:w="80" w:type="dxa"/>
              <w:bottom w:w="80" w:type="dxa"/>
              <w:end w:w="80" w:type="dxa"/>
            </w:tcMar>
          </w:tcPr>
          <w:p>
            <w:r>
              <w:rPr>
                <w:b/>
                <w:color w:val="FFFFFF"/>
                <w:sz w:val="18"/>
              </w:rPr>
              <w:t>Evidence cut-off</w:t>
            </w:r>
          </w:p>
        </w:tc>
        <w:tc>
          <w:tcPr>
            <w:tcW w:type="dxa" w:w="5040"/>
            <w:tcMar>
              <w:top w:w="80" w:type="dxa"/>
              <w:start w:w="80" w:type="dxa"/>
              <w:bottom w:w="80" w:type="dxa"/>
              <w:end w:w="80" w:type="dxa"/>
            </w:tcMar>
          </w:tcPr>
          <w:p>
            <w:r>
              <w:rPr>
                <w:sz w:val="18"/>
              </w:rPr>
              <w:t>8 February 2027</w:t>
            </w:r>
          </w:p>
        </w:tc>
      </w:tr>
      <w:tr>
        <w:tc>
          <w:tcPr>
            <w:tcW w:type="dxa" w:w="5040"/>
            <w:shd w:fill="1F4E78"/>
            <w:tcMar>
              <w:top w:w="80" w:type="dxa"/>
              <w:start w:w="80" w:type="dxa"/>
              <w:bottom w:w="80" w:type="dxa"/>
              <w:end w:w="80" w:type="dxa"/>
            </w:tcMar>
          </w:tcPr>
          <w:p>
            <w:r>
              <w:rPr>
                <w:b/>
                <w:color w:val="FFFFFF"/>
                <w:sz w:val="18"/>
              </w:rPr>
              <w:t>Authority letter date</w:t>
            </w:r>
          </w:p>
        </w:tc>
        <w:tc>
          <w:tcPr>
            <w:tcW w:type="dxa" w:w="5040"/>
            <w:tcMar>
              <w:top w:w="80" w:type="dxa"/>
              <w:start w:w="80" w:type="dxa"/>
              <w:bottom w:w="80" w:type="dxa"/>
              <w:end w:w="80" w:type="dxa"/>
            </w:tcMar>
          </w:tcPr>
          <w:p>
            <w:r>
              <w:rPr>
                <w:sz w:val="18"/>
              </w:rPr>
              <w:t>19 January 2027</w:t>
            </w:r>
          </w:p>
        </w:tc>
      </w:tr>
      <w:tr>
        <w:tc>
          <w:tcPr>
            <w:tcW w:type="dxa" w:w="5040"/>
            <w:shd w:fill="1F4E78"/>
            <w:tcMar>
              <w:top w:w="80" w:type="dxa"/>
              <w:start w:w="80" w:type="dxa"/>
              <w:bottom w:w="80" w:type="dxa"/>
              <w:end w:w="80" w:type="dxa"/>
            </w:tcMar>
          </w:tcPr>
          <w:p>
            <w:r>
              <w:rPr>
                <w:b/>
                <w:color w:val="FFFFFF"/>
                <w:sz w:val="18"/>
              </w:rPr>
              <w:t>Response due</w:t>
            </w:r>
          </w:p>
        </w:tc>
        <w:tc>
          <w:tcPr>
            <w:tcW w:type="dxa" w:w="5040"/>
            <w:tcMar>
              <w:top w:w="80" w:type="dxa"/>
              <w:start w:w="80" w:type="dxa"/>
              <w:bottom w:w="80" w:type="dxa"/>
              <w:end w:w="80" w:type="dxa"/>
            </w:tcMar>
          </w:tcPr>
          <w:p>
            <w:r>
              <w:rPr>
                <w:sz w:val="18"/>
              </w:rPr>
              <w:t>20 March 2027 (60 days)</w:t>
            </w:r>
          </w:p>
        </w:tc>
      </w:tr>
    </w:tbl>
    <w:p>
      <w:pPr>
        <w:widowControl/>
      </w:pPr>
    </w:p>
    <w:tbl>
      <w:tblPr>
        <w:tblStyle w:val="TableGrid"/>
        <w:tblW w:type="auto" w:w="0"/>
        <w:jc w:val="center"/>
        <w:tblLook w:firstColumn="1" w:firstRow="1" w:lastColumn="0" w:lastRow="0" w:noHBand="0" w:noVBand="1" w:val="04A0"/>
      </w:tblPr>
      <w:tblGrid>
        <w:gridCol w:w="10080"/>
      </w:tblGrid>
      <w:tr>
        <w:tc>
          <w:tcPr>
            <w:tcW w:type="dxa" w:w="10080"/>
            <w:shd w:fill="FFF2CC"/>
            <w:tcMar>
              <w:top w:w="100" w:type="dxa"/>
              <w:start w:w="120" w:type="dxa"/>
              <w:bottom w:w="100" w:type="dxa"/>
              <w:end w:w="120" w:type="dxa"/>
            </w:tcMar>
          </w:tcPr>
          <w:p>
            <w:r>
              <w:rPr>
                <w:b/>
                <w:sz w:val="18"/>
              </w:rPr>
              <w:t>DRAFTING CONTROL: Bracketed items and evidence gaps must be resolved before the response is signed or submitted.</w:t>
            </w:r>
          </w:p>
        </w:tc>
      </w:tr>
    </w:tbl>
    <w:p>
      <w:pPr>
        <w:pStyle w:val="Smallnote"/>
        <w:widowControl/>
        <w:jc w:val="center"/>
      </w:pPr>
      <w:r>
        <w:t>Prepared against records available in the repository as of the evidence cut-off. No 24-month result is available or represented as available.</w:t>
      </w:r>
    </w:p>
    <w:p>
      <w:pPr>
        <w:widowControl/>
      </w:pPr>
      <w:r>
        <w:br w:type="page"/>
      </w:r>
    </w:p>
    <w:p>
      <w:pPr>
        <w:pStyle w:val="Heading1"/>
        <w:keepNext/>
        <w:widowControl/>
      </w:pPr>
      <w:r>
        <w:t>Document control and response position</w:t>
      </w:r>
    </w:p>
    <w:p>
      <w:pPr>
        <w:pStyle w:val="Heading2"/>
        <w:keepNext/>
        <w:widowControl/>
      </w:pPr>
      <w:r>
        <w:t>Purpose</w:t>
      </w:r>
    </w:p>
    <w:p>
      <w:pPr>
        <w:widowControl/>
      </w:pPr>
      <w:r>
        <w:t>This working draft provides a point-by-point quality/Module 3 response to the National Medicinal Products Review Authority information request. It distinguishes statements supported by approved records from items that remain open. It is not an approved response and does not replace controlled source documents.</w:t>
      </w:r>
    </w:p>
    <w:p>
      <w:pPr>
        <w:pStyle w:val="Heading2"/>
        <w:keepNext/>
        <w:widowControl/>
      </w:pPr>
      <w:r>
        <w:t>Recommended regulatory position</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232"/>
            <w:shd w:fill="1F4E78"/>
            <w:vAlign w:val="center"/>
            <w:tcMar>
              <w:top w:w="80" w:type="dxa"/>
              <w:start w:w="80" w:type="dxa"/>
              <w:bottom w:w="80" w:type="dxa"/>
              <w:end w:w="80" w:type="dxa"/>
            </w:tcMar>
          </w:tcPr>
          <w:p>
            <w:r>
              <w:rPr>
                <w:b/>
                <w:color w:val="FFFFFF"/>
                <w:sz w:val="16"/>
              </w:rPr>
              <w:t>Topic</w:t>
            </w:r>
          </w:p>
        </w:tc>
        <w:tc>
          <w:tcPr>
            <w:tcW w:type="dxa" w:w="6696"/>
            <w:shd w:fill="1F4E78"/>
            <w:vAlign w:val="center"/>
            <w:tcMar>
              <w:top w:w="80" w:type="dxa"/>
              <w:start w:w="80" w:type="dxa"/>
              <w:bottom w:w="80" w:type="dxa"/>
              <w:end w:w="80" w:type="dxa"/>
            </w:tcMar>
          </w:tcPr>
          <w:p>
            <w:r>
              <w:rPr>
                <w:b/>
                <w:color w:val="FFFFFF"/>
                <w:sz w:val="16"/>
              </w:rPr>
              <w:t>Position as of 8 February 2027</w:t>
            </w:r>
          </w:p>
        </w:tc>
        <w:tc>
          <w:tcPr>
            <w:tcW w:type="dxa" w:w="1944"/>
            <w:shd w:fill="1F4E78"/>
            <w:vAlign w:val="center"/>
            <w:tcMar>
              <w:top w:w="80" w:type="dxa"/>
              <w:start w:w="80" w:type="dxa"/>
              <w:bottom w:w="80" w:type="dxa"/>
              <w:end w:w="80" w:type="dxa"/>
            </w:tcMar>
          </w:tcPr>
          <w:p>
            <w:r>
              <w:rPr>
                <w:b/>
                <w:color w:val="FFFFFF"/>
                <w:sz w:val="16"/>
              </w:rPr>
              <w:t>Status</w:t>
            </w:r>
          </w:p>
        </w:tc>
      </w:tr>
      <w:tr>
        <w:tc>
          <w:tcPr>
            <w:tcW w:type="dxa" w:w="2232"/>
            <w:tcMar>
              <w:top w:w="80" w:type="dxa"/>
              <w:start w:w="80" w:type="dxa"/>
              <w:bottom w:w="80" w:type="dxa"/>
              <w:end w:w="80" w:type="dxa"/>
            </w:tcMar>
            <w:vAlign w:val="center"/>
          </w:tcPr>
          <w:p>
            <w:pPr>
              <w:spacing w:after="0"/>
            </w:pPr>
            <w:r>
              <w:rPr>
                <w:sz w:val="16"/>
              </w:rPr>
              <w:t>P.7 leaf</w:t>
            </w:r>
          </w:p>
        </w:tc>
        <w:tc>
          <w:tcPr>
            <w:tcW w:type="dxa" w:w="6696"/>
            <w:tcMar>
              <w:top w:w="80" w:type="dxa"/>
              <w:start w:w="80" w:type="dxa"/>
              <w:bottom w:w="80" w:type="dxa"/>
              <w:end w:w="80" w:type="dxa"/>
            </w:tcMar>
            <w:vAlign w:val="center"/>
          </w:tcPr>
          <w:p>
            <w:pPr>
              <w:spacing w:after="0"/>
            </w:pPr>
            <w:r>
              <w:rPr>
                <w:sz w:val="16"/>
              </w:rPr>
              <w:t>Refile a corrected bookmarked/paginated leaf; no technical change.</w:t>
            </w:r>
          </w:p>
        </w:tc>
        <w:tc>
          <w:tcPr>
            <w:tcW w:type="dxa" w:w="1944"/>
            <w:tcMar>
              <w:top w:w="80" w:type="dxa"/>
              <w:start w:w="80" w:type="dxa"/>
              <w:bottom w:w="80" w:type="dxa"/>
              <w:end w:w="80" w:type="dxa"/>
            </w:tcMar>
            <w:vAlign w:val="center"/>
          </w:tcPr>
          <w:p>
            <w:pPr>
              <w:spacing w:after="0"/>
            </w:pPr>
            <w:r>
              <w:rPr>
                <w:sz w:val="16"/>
              </w:rPr>
              <w:t>Open — replacement leaf not available</w:t>
            </w:r>
          </w:p>
        </w:tc>
      </w:tr>
      <w:tr>
        <w:tc>
          <w:tcPr>
            <w:tcW w:type="dxa" w:w="2232"/>
            <w:tcMar>
              <w:top w:w="80" w:type="dxa"/>
              <w:start w:w="80" w:type="dxa"/>
              <w:bottom w:w="80" w:type="dxa"/>
              <w:end w:w="80" w:type="dxa"/>
            </w:tcMar>
            <w:vAlign w:val="center"/>
            <w:shd w:fill="F4F7FA"/>
          </w:tcPr>
          <w:p>
            <w:pPr>
              <w:spacing w:after="0"/>
            </w:pPr>
            <w:r>
              <w:rPr>
                <w:sz w:val="16"/>
              </w:rPr>
              <w:t>Impurity A / shelf life</w:t>
            </w:r>
          </w:p>
        </w:tc>
        <w:tc>
          <w:tcPr>
            <w:tcW w:type="dxa" w:w="6696"/>
            <w:tcMar>
              <w:top w:w="80" w:type="dxa"/>
              <w:start w:w="80" w:type="dxa"/>
              <w:bottom w:w="80" w:type="dxa"/>
              <w:end w:w="80" w:type="dxa"/>
            </w:tcMar>
            <w:vAlign w:val="center"/>
            <w:shd w:fill="F4F7FA"/>
          </w:tcPr>
          <w:p>
            <w:pPr>
              <w:spacing w:after="0"/>
            </w:pPr>
            <w:r>
              <w:rPr>
                <w:sz w:val="16"/>
              </w:rPr>
              <w:t>Separate lot regressions do not support 36 months. Recommend reducing the currently claimed shelf life to 18 months pending verified 24-month and later data.</w:t>
            </w:r>
          </w:p>
        </w:tc>
        <w:tc>
          <w:tcPr>
            <w:tcW w:type="dxa" w:w="1944"/>
            <w:tcMar>
              <w:top w:w="80" w:type="dxa"/>
              <w:start w:w="80" w:type="dxa"/>
              <w:bottom w:w="80" w:type="dxa"/>
              <w:end w:w="80" w:type="dxa"/>
            </w:tcMar>
            <w:vAlign w:val="center"/>
            <w:shd w:fill="F4F7FA"/>
          </w:tcPr>
          <w:p>
            <w:pPr>
              <w:spacing w:after="0"/>
            </w:pPr>
            <w:r>
              <w:rPr>
                <w:sz w:val="16"/>
              </w:rPr>
              <w:t>Calculation ready; QC/statistical verification required</w:t>
            </w:r>
          </w:p>
        </w:tc>
      </w:tr>
      <w:tr>
        <w:tc>
          <w:tcPr>
            <w:tcW w:type="dxa" w:w="2232"/>
            <w:tcMar>
              <w:top w:w="80" w:type="dxa"/>
              <w:start w:w="80" w:type="dxa"/>
              <w:bottom w:w="80" w:type="dxa"/>
              <w:end w:w="80" w:type="dxa"/>
            </w:tcMar>
            <w:vAlign w:val="center"/>
          </w:tcPr>
          <w:p>
            <w:pPr>
              <w:spacing w:after="0"/>
            </w:pPr>
            <w:r>
              <w:rPr>
                <w:sz w:val="16"/>
              </w:rPr>
              <w:t>Overwrap / headspace</w:t>
            </w:r>
          </w:p>
        </w:tc>
        <w:tc>
          <w:tcPr>
            <w:tcW w:type="dxa" w:w="6696"/>
            <w:tcMar>
              <w:top w:w="80" w:type="dxa"/>
              <w:start w:w="80" w:type="dxa"/>
              <w:bottom w:w="80" w:type="dxa"/>
              <w:end w:w="80" w:type="dxa"/>
            </w:tcMar>
            <w:vAlign w:val="center"/>
          </w:tcPr>
          <w:p>
            <w:pPr>
              <w:spacing w:after="0"/>
            </w:pPr>
            <w:r>
              <w:rPr>
                <w:sz w:val="16"/>
              </w:rPr>
              <w:t>BF-51 OTR at 23 °C/65% RH is documented as 2.4 cm³/m²·day·bar. No registered-pack headspace oxygen control/measurement record was found.</w:t>
            </w:r>
          </w:p>
        </w:tc>
        <w:tc>
          <w:tcPr>
            <w:tcW w:type="dxa" w:w="1944"/>
            <w:tcMar>
              <w:top w:w="80" w:type="dxa"/>
              <w:start w:w="80" w:type="dxa"/>
              <w:bottom w:w="80" w:type="dxa"/>
              <w:end w:w="80" w:type="dxa"/>
            </w:tcMar>
            <w:vAlign w:val="center"/>
          </w:tcPr>
          <w:p>
            <w:pPr>
              <w:spacing w:after="0"/>
            </w:pPr>
            <w:r>
              <w:rPr>
                <w:sz w:val="16"/>
              </w:rPr>
              <w:t>Partial evidence</w:t>
            </w:r>
          </w:p>
        </w:tc>
      </w:tr>
      <w:tr>
        <w:tc>
          <w:tcPr>
            <w:tcW w:type="dxa" w:w="2232"/>
            <w:tcMar>
              <w:top w:w="80" w:type="dxa"/>
              <w:start w:w="80" w:type="dxa"/>
              <w:bottom w:w="80" w:type="dxa"/>
              <w:end w:w="80" w:type="dxa"/>
            </w:tcMar>
            <w:vAlign w:val="center"/>
            <w:shd w:fill="F4F7FA"/>
          </w:tcPr>
          <w:p>
            <w:pPr>
              <w:spacing w:after="0"/>
            </w:pPr>
            <w:r>
              <w:rPr>
                <w:sz w:val="16"/>
              </w:rPr>
              <w:t>Accelerated / intermediate</w:t>
            </w:r>
          </w:p>
        </w:tc>
        <w:tc>
          <w:tcPr>
            <w:tcW w:type="dxa" w:w="6696"/>
            <w:tcMar>
              <w:top w:w="80" w:type="dxa"/>
              <w:start w:w="80" w:type="dxa"/>
              <w:bottom w:w="80" w:type="dxa"/>
              <w:end w:w="80" w:type="dxa"/>
            </w:tcMar>
            <w:vAlign w:val="center"/>
            <w:shd w:fill="F4F7FA"/>
          </w:tcPr>
          <w:p>
            <w:pPr>
              <w:spacing w:after="0"/>
            </w:pPr>
            <w:r>
              <w:rPr>
                <w:sz w:val="16"/>
              </w:rPr>
              <w:t>0.46% at 6 months remained within the 0.50% specification and was not treated as ICH Q1A(R2) significant change. STB-AVI401-003 was a standing Zone II precaution, not a corrective response.</w:t>
            </w:r>
          </w:p>
        </w:tc>
        <w:tc>
          <w:tcPr>
            <w:tcW w:type="dxa" w:w="1944"/>
            <w:tcMar>
              <w:top w:w="80" w:type="dxa"/>
              <w:start w:w="80" w:type="dxa"/>
              <w:bottom w:w="80" w:type="dxa"/>
              <w:end w:w="80" w:type="dxa"/>
            </w:tcMar>
            <w:vAlign w:val="center"/>
            <w:shd w:fill="F4F7FA"/>
          </w:tcPr>
          <w:p>
            <w:pPr>
              <w:spacing w:after="0"/>
            </w:pPr>
            <w:r>
              <w:rPr>
                <w:sz w:val="16"/>
              </w:rPr>
              <w:t>Supported</w:t>
            </w:r>
          </w:p>
        </w:tc>
      </w:tr>
      <w:tr>
        <w:tc>
          <w:tcPr>
            <w:tcW w:type="dxa" w:w="2232"/>
            <w:tcMar>
              <w:top w:w="80" w:type="dxa"/>
              <w:start w:w="80" w:type="dxa"/>
              <w:bottom w:w="80" w:type="dxa"/>
              <w:end w:w="80" w:type="dxa"/>
            </w:tcMar>
            <w:vAlign w:val="center"/>
          </w:tcPr>
          <w:p>
            <w:pPr>
              <w:spacing w:after="0"/>
            </w:pPr>
            <w:r>
              <w:rPr>
                <w:sz w:val="16"/>
              </w:rPr>
              <w:t>LAB-2025-114</w:t>
            </w:r>
          </w:p>
        </w:tc>
        <w:tc>
          <w:tcPr>
            <w:tcW w:type="dxa" w:w="6696"/>
            <w:tcMar>
              <w:top w:w="80" w:type="dxa"/>
              <w:start w:w="80" w:type="dxa"/>
              <w:bottom w:w="80" w:type="dxa"/>
              <w:end w:w="80" w:type="dxa"/>
            </w:tcMar>
            <w:vAlign w:val="center"/>
          </w:tcPr>
          <w:p>
            <w:pPr>
              <w:spacing w:after="0"/>
            </w:pPr>
            <w:r>
              <w:rPr>
                <w:sz w:val="16"/>
              </w:rPr>
              <w:t>Assignable cause and replacement result (0.14%) are documented; campaign-wide impact is not documented in the available event extract.</w:t>
            </w:r>
          </w:p>
        </w:tc>
        <w:tc>
          <w:tcPr>
            <w:tcW w:type="dxa" w:w="1944"/>
            <w:tcMar>
              <w:top w:w="80" w:type="dxa"/>
              <w:start w:w="80" w:type="dxa"/>
              <w:bottom w:w="80" w:type="dxa"/>
              <w:end w:w="80" w:type="dxa"/>
            </w:tcMar>
            <w:vAlign w:val="center"/>
          </w:tcPr>
          <w:p>
            <w:pPr>
              <w:spacing w:after="0"/>
            </w:pPr>
            <w:r>
              <w:rPr>
                <w:sz w:val="16"/>
              </w:rPr>
              <w:t>Partial evidence</w:t>
            </w:r>
          </w:p>
        </w:tc>
      </w:tr>
      <w:tr>
        <w:tc>
          <w:tcPr>
            <w:tcW w:type="dxa" w:w="2232"/>
            <w:tcMar>
              <w:top w:w="80" w:type="dxa"/>
              <w:start w:w="80" w:type="dxa"/>
              <w:bottom w:w="80" w:type="dxa"/>
              <w:end w:w="80" w:type="dxa"/>
            </w:tcMar>
            <w:vAlign w:val="center"/>
            <w:shd w:fill="F4F7FA"/>
          </w:tcPr>
          <w:p>
            <w:pPr>
              <w:spacing w:after="0"/>
            </w:pPr>
            <w:r>
              <w:rPr>
                <w:sz w:val="16"/>
              </w:rPr>
              <w:t>Filter validation</w:t>
            </w:r>
          </w:p>
        </w:tc>
        <w:tc>
          <w:tcPr>
            <w:tcW w:type="dxa" w:w="6696"/>
            <w:tcMar>
              <w:top w:w="80" w:type="dxa"/>
              <w:start w:w="80" w:type="dxa"/>
              <w:bottom w:w="80" w:type="dxa"/>
              <w:end w:w="80" w:type="dxa"/>
            </w:tcMar>
            <w:vAlign w:val="center"/>
            <w:shd w:fill="F4F7FA"/>
          </w:tcPr>
          <w:p>
            <w:pPr>
              <w:spacing w:after="0"/>
            </w:pPr>
            <w:r>
              <w:rPr>
                <w:sz w:val="16"/>
              </w:rPr>
              <w:t>Validation bounds are documented; production operating limits and conservative area-to-mass scaling are not demonstrated in the available records.</w:t>
            </w:r>
          </w:p>
        </w:tc>
        <w:tc>
          <w:tcPr>
            <w:tcW w:type="dxa" w:w="1944"/>
            <w:tcMar>
              <w:top w:w="80" w:type="dxa"/>
              <w:start w:w="80" w:type="dxa"/>
              <w:bottom w:w="80" w:type="dxa"/>
              <w:end w:w="80" w:type="dxa"/>
            </w:tcMar>
            <w:vAlign w:val="center"/>
            <w:shd w:fill="F4F7FA"/>
          </w:tcPr>
          <w:p>
            <w:pPr>
              <w:spacing w:after="0"/>
            </w:pPr>
            <w:r>
              <w:rPr>
                <w:sz w:val="16"/>
              </w:rPr>
              <w:t>Partial evidence</w:t>
            </w:r>
          </w:p>
        </w:tc>
      </w:tr>
      <w:tr>
        <w:tc>
          <w:tcPr>
            <w:tcW w:type="dxa" w:w="2232"/>
            <w:tcMar>
              <w:top w:w="80" w:type="dxa"/>
              <w:start w:w="80" w:type="dxa"/>
              <w:bottom w:w="80" w:type="dxa"/>
              <w:end w:w="80" w:type="dxa"/>
            </w:tcMar>
            <w:vAlign w:val="center"/>
          </w:tcPr>
          <w:p>
            <w:pPr>
              <w:spacing w:after="0"/>
            </w:pPr>
            <w:r>
              <w:rPr>
                <w:sz w:val="16"/>
              </w:rPr>
              <w:t>Administration set</w:t>
            </w:r>
          </w:p>
        </w:tc>
        <w:tc>
          <w:tcPr>
            <w:tcW w:type="dxa" w:w="6696"/>
            <w:tcMar>
              <w:top w:w="80" w:type="dxa"/>
              <w:start w:w="80" w:type="dxa"/>
              <w:bottom w:w="80" w:type="dxa"/>
              <w:end w:w="80" w:type="dxa"/>
            </w:tcMar>
            <w:vAlign w:val="center"/>
          </w:tcPr>
          <w:p>
            <w:pPr>
              <w:spacing w:after="0"/>
            </w:pPr>
            <w:r>
              <w:rPr>
                <w:sz w:val="16"/>
              </w:rPr>
              <w:t>AVT-VAL-203 is approved but does not state requested duration, materials, AET, or last-fraction result.</w:t>
            </w:r>
          </w:p>
        </w:tc>
        <w:tc>
          <w:tcPr>
            <w:tcW w:type="dxa" w:w="1944"/>
            <w:tcMar>
              <w:top w:w="80" w:type="dxa"/>
              <w:start w:w="80" w:type="dxa"/>
              <w:bottom w:w="80" w:type="dxa"/>
              <w:end w:w="80" w:type="dxa"/>
            </w:tcMar>
            <w:vAlign w:val="center"/>
          </w:tcPr>
          <w:p>
            <w:pPr>
              <w:spacing w:after="0"/>
            </w:pPr>
            <w:r>
              <w:rPr>
                <w:sz w:val="16"/>
              </w:rPr>
              <w:t>Evidence gap</w:t>
            </w:r>
          </w:p>
        </w:tc>
      </w:tr>
      <w:tr>
        <w:tc>
          <w:tcPr>
            <w:tcW w:type="dxa" w:w="2232"/>
            <w:tcMar>
              <w:top w:w="80" w:type="dxa"/>
              <w:start w:w="80" w:type="dxa"/>
              <w:bottom w:w="80" w:type="dxa"/>
              <w:end w:w="80" w:type="dxa"/>
            </w:tcMar>
            <w:vAlign w:val="center"/>
            <w:shd w:fill="F4F7FA"/>
          </w:tcPr>
          <w:p>
            <w:pPr>
              <w:spacing w:after="0"/>
            </w:pPr>
            <w:r>
              <w:rPr>
                <w:sz w:val="16"/>
              </w:rPr>
              <w:t>24-month pull</w:t>
            </w:r>
          </w:p>
        </w:tc>
        <w:tc>
          <w:tcPr>
            <w:tcW w:type="dxa" w:w="6696"/>
            <w:tcMar>
              <w:top w:w="80" w:type="dxa"/>
              <w:start w:w="80" w:type="dxa"/>
              <w:bottom w:w="80" w:type="dxa"/>
              <w:end w:w="80" w:type="dxa"/>
            </w:tcMar>
            <w:vAlign w:val="center"/>
            <w:shd w:fill="F4F7FA"/>
          </w:tcPr>
          <w:p>
            <w:pPr>
              <w:spacing w:after="0"/>
            </w:pPr>
            <w:r>
              <w:rPr>
                <w:sz w:val="16"/>
              </w:rPr>
              <w:t>Scheduled for 1 March 2027; not yet executed. Submit verified results under COM-AVI401-008.</w:t>
            </w:r>
          </w:p>
        </w:tc>
        <w:tc>
          <w:tcPr>
            <w:tcW w:type="dxa" w:w="1944"/>
            <w:tcMar>
              <w:top w:w="80" w:type="dxa"/>
              <w:start w:w="80" w:type="dxa"/>
              <w:bottom w:w="80" w:type="dxa"/>
              <w:end w:w="80" w:type="dxa"/>
            </w:tcMar>
            <w:vAlign w:val="center"/>
            <w:shd w:fill="F4F7FA"/>
          </w:tcPr>
          <w:p>
            <w:pPr>
              <w:spacing w:after="0"/>
            </w:pPr>
            <w:r>
              <w:rPr>
                <w:sz w:val="16"/>
              </w:rPr>
              <w:t>Pending approved schedule</w:t>
            </w:r>
          </w:p>
        </w:tc>
      </w:tr>
    </w:tbl>
    <w:p>
      <w:pPr>
        <w:widowControl/>
        <w:spacing w:after="0"/>
      </w:pPr>
    </w:p>
    <w:p>
      <w:pPr>
        <w:pStyle w:val="Heading2"/>
        <w:keepNext/>
        <w:widowControl/>
      </w:pPr>
      <w:r>
        <w:t>Submission-critical open items</w:t>
      </w:r>
    </w:p>
    <w:p>
      <w:pPr>
        <w:pStyle w:val="ListBullet"/>
        <w:widowControl/>
      </w:pPr>
      <w:r>
        <w:t>Obtain and quality-control the corrected 3.2.P.7 leaf and its eCTD bookmarks/pagination.</w:t>
      </w:r>
    </w:p>
    <w:p>
      <w:pPr>
        <w:pStyle w:val="ListBullet"/>
        <w:widowControl/>
      </w:pPr>
      <w:r>
        <w:t>Have QC Statistics independently reproduce the Impurity A regressions and approve the shelf-life position.</w:t>
      </w:r>
    </w:p>
    <w:p>
      <w:pPr>
        <w:pStyle w:val="ListBullet"/>
        <w:widowControl/>
      </w:pPr>
      <w:r>
        <w:t>Provide controlled evidence for 100 mL and 250 mL headspace oxygen controls or explicitly confirm that no values were measured.</w:t>
      </w:r>
    </w:p>
    <w:p>
      <w:pPr>
        <w:pStyle w:val="ListBullet"/>
        <w:widowControl/>
      </w:pPr>
      <w:r>
        <w:t>Obtain the approved process record establishing routine filtration time, product temperature, and filtered-bulk hold; document the test-to-production area-to-mass calculation.</w:t>
      </w:r>
    </w:p>
    <w:p>
      <w:pPr>
        <w:pStyle w:val="ListBullet"/>
        <w:widowControl/>
      </w:pPr>
      <w:r>
        <w:t>Obtain the AVT-VAL-203 protocol/raw-data summary stating challenged infusion duration, set materials, analytical evaluation threshold, and last-fraction findings.</w:t>
      </w:r>
    </w:p>
    <w:p>
      <w:pPr>
        <w:pStyle w:val="ListBullet"/>
        <w:widowControl/>
      </w:pPr>
      <w:r>
        <w:t>Obtain the complete LAB-2025-114 investigation or campaign assessment establishing whether any other sequence used the erroneous mobile phase.</w:t>
      </w:r>
    </w:p>
    <w:p>
      <w:pPr>
        <w:pStyle w:val="ListBullet"/>
        <w:widowControl/>
      </w:pPr>
      <w:r>
        <w:t>Reconcile the unapproved Tomas Li planning workbooks, which misidentify presentation sizes and contain unverified projections; do not cite them as evidence.</w:t>
      </w:r>
    </w:p>
    <w:p>
      <w:pPr>
        <w:widowControl/>
      </w:pPr>
      <w:r>
        <w:br w:type="page"/>
      </w:r>
    </w:p>
    <w:p>
      <w:pPr>
        <w:pStyle w:val="Heading1"/>
        <w:keepNext/>
        <w:widowControl/>
      </w:pPr>
      <w:r>
        <w:t>Proposed response text</w:t>
      </w:r>
    </w:p>
    <w:p>
      <w:pPr>
        <w:widowControl/>
      </w:pPr>
      <w:r>
        <w:t>The following section is drafted in applicant voice. Internal notes are shaded and are not intended for submission.</w:t>
      </w:r>
    </w:p>
    <w:p>
      <w:pPr>
        <w:pStyle w:val="Heading2"/>
        <w:keepNext/>
        <w:widowControl/>
      </w:pPr>
      <w:r>
        <w:t>Opening statement</w:t>
      </w:r>
    </w:p>
    <w:p>
      <w:pPr>
        <w:widowControl/>
      </w:pPr>
      <w:r>
        <w:t>Havenor Therapeutics Ltd. provides the following response to Information Request HA-AVI401-IR-2027-014 for APP-CN-AVI401-001. The response is based on the approved records and verified data available as of 8 February 2027. Where the requested information is not present in the available file, this is stated expressly. The 24-month long-term pull remains scheduled and no early pull has been performed solely for this response.</w:t>
      </w:r>
    </w:p>
    <w:p>
      <w:pPr>
        <w:pStyle w:val="Heading2"/>
        <w:keepNext/>
        <w:widowControl/>
      </w:pPr>
      <w:r>
        <w:t>1. 3.2.P.7 bookmarking and pagination</w:t>
      </w:r>
    </w:p>
    <w:p>
      <w:pPr>
        <w:widowControl/>
      </w:pPr>
      <w:r>
        <w:t>A replacement 3.2.P.7 leaf with corrected bookmarks and pagination will be provided. The replacement will contain no new technical content.</w:t>
      </w:r>
    </w:p>
    <w:tbl>
      <w:tblPr>
        <w:tblStyle w:val="TableGrid"/>
        <w:tblW w:type="auto" w:w="0"/>
        <w:jc w:val="center"/>
        <w:tblLook w:firstColumn="1" w:firstRow="1" w:lastColumn="0" w:lastRow="0" w:noHBand="0" w:noVBand="1" w:val="04A0"/>
      </w:tblPr>
      <w:tblGrid>
        <w:gridCol w:w="10080"/>
      </w:tblGrid>
      <w:tr>
        <w:tc>
          <w:tcPr>
            <w:tcW w:type="dxa" w:w="10080"/>
            <w:shd w:fill="FFF2CC"/>
            <w:tcMar>
              <w:top w:w="100" w:type="dxa"/>
              <w:start w:w="120" w:type="dxa"/>
              <w:bottom w:w="100" w:type="dxa"/>
              <w:end w:w="120" w:type="dxa"/>
            </w:tcMar>
          </w:tcPr>
          <w:p>
            <w:r>
              <w:rPr>
                <w:b/>
                <w:sz w:val="18"/>
              </w:rPr>
              <w:t>INTERNAL: Attach and eCTD-QC the corrected P.7 leaf before submission. The application leaf/drawings were not available in the evidence set reviewed for this draft.</w:t>
            </w:r>
          </w:p>
        </w:tc>
      </w:tr>
    </w:tbl>
    <w:p>
      <w:pPr>
        <w:pStyle w:val="Heading2"/>
        <w:keepNext/>
        <w:widowControl/>
      </w:pPr>
      <w:r>
        <w:t>2. Impurity A trend, projection, worst-case presentation and shelf life</w:t>
      </w:r>
    </w:p>
    <w:p>
      <w:pPr>
        <w:widowControl/>
      </w:pPr>
      <w:r>
        <w:t>Impurity A (avericin N-oxide) was evaluated separately for each registration lot using the six verified long-term results at 0, 3, 6, 9, 12 and 18 months from STB-AVI401-002 (25 °C/60% RH). The acceptance criterion is not more than 0.50% area. Lots AVI401-R01 and AVI401-R02 are the 100 mL presentation; AVI401-R03 is the 250 mL presentation.</w:t>
      </w:r>
    </w:p>
    <w:p>
      <w:pPr>
        <w:widowControl/>
      </w:pPr>
      <w:r>
        <w:t>An ordinary least-squares linear model, y = a + bx, was fitted to each lot, where x is months and y is Impurity A (% area). The residual standard error (RSE) is √[Σ(yi−ŷi)²/(n−2)]. The one-sided 95% upper confidence bound shown below is for the fitted mean response: ŷ(x) + t0.95,4 × RSE × √[1/n + (x−x̄)²/Sxx], using t0.95,4 = 2.1318. No pooling was applied.</w:t>
      </w:r>
    </w:p>
    <w:tbl>
      <w:tblPr>
        <w:tblStyle w:val="TableGrid"/>
        <w:tblW w:type="auto" w:w="0"/>
        <w:jc w:val="center"/>
        <w:tblLook w:firstColumn="1" w:firstRow="1" w:lastColumn="0" w:lastRow="0" w:noHBand="0" w:noVBand="1" w:val="04A0"/>
      </w:tblPr>
      <w:tblGrid>
        <w:gridCol w:w="1440"/>
        <w:gridCol w:w="1440"/>
        <w:gridCol w:w="1440"/>
        <w:gridCol w:w="1440"/>
        <w:gridCol w:w="1440"/>
        <w:gridCol w:w="1440"/>
        <w:gridCol w:w="1440"/>
      </w:tblGrid>
      <w:tr>
        <w:trPr>
          <w:tblHeader w:val="true"/>
        </w:trPr>
        <w:tc>
          <w:tcPr>
            <w:tcW w:type="dxa" w:w="1440"/>
            <w:shd w:fill="1F4E78"/>
            <w:vAlign w:val="center"/>
            <w:tcMar>
              <w:top w:w="80" w:type="dxa"/>
              <w:start w:w="80" w:type="dxa"/>
              <w:bottom w:w="80" w:type="dxa"/>
              <w:end w:w="80" w:type="dxa"/>
            </w:tcMar>
          </w:tcPr>
          <w:p>
            <w:r>
              <w:rPr>
                <w:b/>
                <w:color w:val="FFFFFF"/>
                <w:sz w:val="15"/>
              </w:rPr>
              <w:t>Lot / pack</w:t>
            </w:r>
          </w:p>
        </w:tc>
        <w:tc>
          <w:tcPr>
            <w:tcW w:type="dxa" w:w="3024"/>
            <w:shd w:fill="1F4E78"/>
            <w:vAlign w:val="center"/>
            <w:tcMar>
              <w:top w:w="80" w:type="dxa"/>
              <w:start w:w="80" w:type="dxa"/>
              <w:bottom w:w="80" w:type="dxa"/>
              <w:end w:w="80" w:type="dxa"/>
            </w:tcMar>
          </w:tcPr>
          <w:p>
            <w:r>
              <w:rPr>
                <w:b/>
                <w:color w:val="FFFFFF"/>
                <w:sz w:val="15"/>
              </w:rPr>
              <w:t>Observed 0–18 m (%)</w:t>
            </w:r>
          </w:p>
        </w:tc>
        <w:tc>
          <w:tcPr>
            <w:tcW w:type="dxa" w:w="1152"/>
            <w:shd w:fill="1F4E78"/>
            <w:vAlign w:val="center"/>
            <w:tcMar>
              <w:top w:w="80" w:type="dxa"/>
              <w:start w:w="80" w:type="dxa"/>
              <w:bottom w:w="80" w:type="dxa"/>
              <w:end w:w="80" w:type="dxa"/>
            </w:tcMar>
          </w:tcPr>
          <w:p>
            <w:r>
              <w:rPr>
                <w:b/>
                <w:color w:val="FFFFFF"/>
                <w:sz w:val="15"/>
              </w:rPr>
              <w:t>Slope (%/month)</w:t>
            </w:r>
          </w:p>
        </w:tc>
        <w:tc>
          <w:tcPr>
            <w:tcW w:type="dxa" w:w="1008"/>
            <w:shd w:fill="1F4E78"/>
            <w:vAlign w:val="center"/>
            <w:tcMar>
              <w:top w:w="80" w:type="dxa"/>
              <w:start w:w="80" w:type="dxa"/>
              <w:bottom w:w="80" w:type="dxa"/>
              <w:end w:w="80" w:type="dxa"/>
            </w:tcMar>
          </w:tcPr>
          <w:p>
            <w:r>
              <w:rPr>
                <w:b/>
                <w:color w:val="FFFFFF"/>
                <w:sz w:val="15"/>
              </w:rPr>
              <w:t>RSE (%)</w:t>
            </w:r>
          </w:p>
        </w:tc>
        <w:tc>
          <w:tcPr>
            <w:tcW w:type="dxa" w:w="1584"/>
            <w:shd w:fill="1F4E78"/>
            <w:vAlign w:val="center"/>
            <w:tcMar>
              <w:top w:w="80" w:type="dxa"/>
              <w:start w:w="80" w:type="dxa"/>
              <w:bottom w:w="80" w:type="dxa"/>
              <w:end w:w="80" w:type="dxa"/>
            </w:tcMar>
          </w:tcPr>
          <w:p>
            <w:r>
              <w:rPr>
                <w:b/>
                <w:color w:val="FFFFFF"/>
                <w:sz w:val="15"/>
              </w:rPr>
              <w:t>24 m fit / U95 (%)</w:t>
            </w:r>
          </w:p>
        </w:tc>
        <w:tc>
          <w:tcPr>
            <w:tcW w:type="dxa" w:w="1584"/>
            <w:shd w:fill="1F4E78"/>
            <w:vAlign w:val="center"/>
            <w:tcMar>
              <w:top w:w="80" w:type="dxa"/>
              <w:start w:w="80" w:type="dxa"/>
              <w:bottom w:w="80" w:type="dxa"/>
              <w:end w:w="80" w:type="dxa"/>
            </w:tcMar>
          </w:tcPr>
          <w:p>
            <w:r>
              <w:rPr>
                <w:b/>
                <w:color w:val="FFFFFF"/>
                <w:sz w:val="15"/>
              </w:rPr>
              <w:t>36 m fit / U95 (%)</w:t>
            </w:r>
          </w:p>
        </w:tc>
        <w:tc>
          <w:tcPr>
            <w:tcW w:type="dxa" w:w="1224"/>
            <w:shd w:fill="1F4E78"/>
            <w:vAlign w:val="center"/>
            <w:tcMar>
              <w:top w:w="80" w:type="dxa"/>
              <w:start w:w="80" w:type="dxa"/>
              <w:bottom w:w="80" w:type="dxa"/>
              <w:end w:w="80" w:type="dxa"/>
            </w:tcMar>
          </w:tcPr>
          <w:p>
            <w:r>
              <w:rPr>
                <w:b/>
                <w:color w:val="FFFFFF"/>
                <w:sz w:val="15"/>
              </w:rPr>
              <w:t>U95 reaches 0.50 at</w:t>
            </w:r>
          </w:p>
        </w:tc>
      </w:tr>
      <w:tr>
        <w:tc>
          <w:tcPr>
            <w:tcW w:type="dxa" w:w="1440"/>
            <w:tcMar>
              <w:top w:w="80" w:type="dxa"/>
              <w:start w:w="80" w:type="dxa"/>
              <w:bottom w:w="80" w:type="dxa"/>
              <w:end w:w="80" w:type="dxa"/>
            </w:tcMar>
            <w:vAlign w:val="center"/>
          </w:tcPr>
          <w:p>
            <w:pPr>
              <w:spacing w:after="0"/>
            </w:pPr>
            <w:r>
              <w:rPr>
                <w:sz w:val="15"/>
              </w:rPr>
              <w:t>R01 / 100 mL</w:t>
            </w:r>
          </w:p>
        </w:tc>
        <w:tc>
          <w:tcPr>
            <w:tcW w:type="dxa" w:w="3024"/>
            <w:tcMar>
              <w:top w:w="80" w:type="dxa"/>
              <w:start w:w="80" w:type="dxa"/>
              <w:bottom w:w="80" w:type="dxa"/>
              <w:end w:w="80" w:type="dxa"/>
            </w:tcMar>
            <w:vAlign w:val="center"/>
          </w:tcPr>
          <w:p>
            <w:pPr>
              <w:spacing w:after="0"/>
            </w:pPr>
            <w:r>
              <w:rPr>
                <w:sz w:val="15"/>
              </w:rPr>
              <w:t>0.05, 0.10, 0.13, 0.17, 0.20, 0.30</w:t>
            </w:r>
          </w:p>
        </w:tc>
        <w:tc>
          <w:tcPr>
            <w:tcW w:type="dxa" w:w="1152"/>
            <w:tcMar>
              <w:top w:w="80" w:type="dxa"/>
              <w:start w:w="80" w:type="dxa"/>
              <w:bottom w:w="80" w:type="dxa"/>
              <w:end w:w="80" w:type="dxa"/>
            </w:tcMar>
            <w:vAlign w:val="center"/>
          </w:tcPr>
          <w:p>
            <w:pPr>
              <w:spacing w:after="0"/>
            </w:pPr>
            <w:r>
              <w:rPr>
                <w:sz w:val="15"/>
              </w:rPr>
              <w:t>0.013381</w:t>
            </w:r>
          </w:p>
        </w:tc>
        <w:tc>
          <w:tcPr>
            <w:tcW w:type="dxa" w:w="1008"/>
            <w:tcMar>
              <w:top w:w="80" w:type="dxa"/>
              <w:start w:w="80" w:type="dxa"/>
              <w:bottom w:w="80" w:type="dxa"/>
              <w:end w:w="80" w:type="dxa"/>
            </w:tcMar>
            <w:vAlign w:val="center"/>
          </w:tcPr>
          <w:p>
            <w:pPr>
              <w:spacing w:after="0"/>
            </w:pPr>
            <w:r>
              <w:rPr>
                <w:sz w:val="15"/>
              </w:rPr>
              <w:t>0.008409</w:t>
            </w:r>
          </w:p>
        </w:tc>
        <w:tc>
          <w:tcPr>
            <w:tcW w:type="dxa" w:w="1584"/>
            <w:tcMar>
              <w:top w:w="80" w:type="dxa"/>
              <w:start w:w="80" w:type="dxa"/>
              <w:bottom w:w="80" w:type="dxa"/>
              <w:end w:w="80" w:type="dxa"/>
            </w:tcMar>
            <w:vAlign w:val="center"/>
          </w:tcPr>
          <w:p>
            <w:pPr>
              <w:spacing w:after="0"/>
            </w:pPr>
            <w:r>
              <w:rPr>
                <w:sz w:val="15"/>
              </w:rPr>
              <w:t>0.372 / 0.394</w:t>
            </w:r>
          </w:p>
        </w:tc>
        <w:tc>
          <w:tcPr>
            <w:tcW w:type="dxa" w:w="1584"/>
            <w:tcMar>
              <w:top w:w="80" w:type="dxa"/>
              <w:start w:w="80" w:type="dxa"/>
              <w:bottom w:w="80" w:type="dxa"/>
              <w:end w:w="80" w:type="dxa"/>
            </w:tcMar>
            <w:vAlign w:val="center"/>
          </w:tcPr>
          <w:p>
            <w:pPr>
              <w:spacing w:after="0"/>
            </w:pPr>
            <w:r>
              <w:rPr>
                <w:sz w:val="15"/>
              </w:rPr>
              <w:t>0.533 / 0.568</w:t>
            </w:r>
          </w:p>
        </w:tc>
        <w:tc>
          <w:tcPr>
            <w:tcW w:type="dxa" w:w="1224"/>
            <w:tcMar>
              <w:top w:w="80" w:type="dxa"/>
              <w:start w:w="80" w:type="dxa"/>
              <w:bottom w:w="80" w:type="dxa"/>
              <w:end w:w="80" w:type="dxa"/>
            </w:tcMar>
            <w:vAlign w:val="center"/>
          </w:tcPr>
          <w:p>
            <w:pPr>
              <w:spacing w:after="0"/>
            </w:pPr>
            <w:r>
              <w:rPr>
                <w:sz w:val="15"/>
              </w:rPr>
              <w:t>31.3 months</w:t>
            </w:r>
          </w:p>
        </w:tc>
      </w:tr>
      <w:tr>
        <w:tc>
          <w:tcPr>
            <w:tcW w:type="dxa" w:w="1440"/>
            <w:tcMar>
              <w:top w:w="80" w:type="dxa"/>
              <w:start w:w="80" w:type="dxa"/>
              <w:bottom w:w="80" w:type="dxa"/>
              <w:end w:w="80" w:type="dxa"/>
            </w:tcMar>
            <w:vAlign w:val="center"/>
            <w:shd w:fill="F4F7FA"/>
          </w:tcPr>
          <w:p>
            <w:pPr>
              <w:spacing w:after="0"/>
            </w:pPr>
            <w:r>
              <w:rPr>
                <w:sz w:val="15"/>
              </w:rPr>
              <w:t>R02 / 100 mL</w:t>
            </w:r>
          </w:p>
        </w:tc>
        <w:tc>
          <w:tcPr>
            <w:tcW w:type="dxa" w:w="3024"/>
            <w:tcMar>
              <w:top w:w="80" w:type="dxa"/>
              <w:start w:w="80" w:type="dxa"/>
              <w:bottom w:w="80" w:type="dxa"/>
              <w:end w:w="80" w:type="dxa"/>
            </w:tcMar>
            <w:vAlign w:val="center"/>
            <w:shd w:fill="F4F7FA"/>
          </w:tcPr>
          <w:p>
            <w:pPr>
              <w:spacing w:after="0"/>
            </w:pPr>
            <w:r>
              <w:rPr>
                <w:sz w:val="15"/>
              </w:rPr>
              <w:t>0.06, 0.10, 0.14, 0.18, 0.22, 0.29</w:t>
            </w:r>
          </w:p>
        </w:tc>
        <w:tc>
          <w:tcPr>
            <w:tcW w:type="dxa" w:w="1152"/>
            <w:tcMar>
              <w:top w:w="80" w:type="dxa"/>
              <w:start w:w="80" w:type="dxa"/>
              <w:bottom w:w="80" w:type="dxa"/>
              <w:end w:w="80" w:type="dxa"/>
            </w:tcMar>
            <w:vAlign w:val="center"/>
            <w:shd w:fill="F4F7FA"/>
          </w:tcPr>
          <w:p>
            <w:pPr>
              <w:spacing w:after="0"/>
            </w:pPr>
            <w:r>
              <w:rPr>
                <w:sz w:val="15"/>
              </w:rPr>
              <w:t>0.012857</w:t>
            </w:r>
          </w:p>
        </w:tc>
        <w:tc>
          <w:tcPr>
            <w:tcW w:type="dxa" w:w="1008"/>
            <w:tcMar>
              <w:top w:w="80" w:type="dxa"/>
              <w:start w:w="80" w:type="dxa"/>
              <w:bottom w:w="80" w:type="dxa"/>
              <w:end w:w="80" w:type="dxa"/>
            </w:tcMar>
            <w:vAlign w:val="center"/>
            <w:shd w:fill="F4F7FA"/>
          </w:tcPr>
          <w:p>
            <w:pPr>
              <w:spacing w:after="0"/>
            </w:pPr>
            <w:r>
              <w:rPr>
                <w:sz w:val="15"/>
              </w:rPr>
              <w:t>0.002988</w:t>
            </w:r>
          </w:p>
        </w:tc>
        <w:tc>
          <w:tcPr>
            <w:tcW w:type="dxa" w:w="1584"/>
            <w:tcMar>
              <w:top w:w="80" w:type="dxa"/>
              <w:start w:w="80" w:type="dxa"/>
              <w:bottom w:w="80" w:type="dxa"/>
              <w:end w:w="80" w:type="dxa"/>
            </w:tcMar>
            <w:vAlign w:val="center"/>
            <w:shd w:fill="F4F7FA"/>
          </w:tcPr>
          <w:p>
            <w:pPr>
              <w:spacing w:after="0"/>
            </w:pPr>
            <w:r>
              <w:rPr>
                <w:sz w:val="15"/>
              </w:rPr>
              <w:t>0.371 / 0.378</w:t>
            </w:r>
          </w:p>
        </w:tc>
        <w:tc>
          <w:tcPr>
            <w:tcW w:type="dxa" w:w="1584"/>
            <w:tcMar>
              <w:top w:w="80" w:type="dxa"/>
              <w:start w:w="80" w:type="dxa"/>
              <w:bottom w:w="80" w:type="dxa"/>
              <w:end w:w="80" w:type="dxa"/>
            </w:tcMar>
            <w:vAlign w:val="center"/>
            <w:shd w:fill="F4F7FA"/>
          </w:tcPr>
          <w:p>
            <w:pPr>
              <w:spacing w:after="0"/>
            </w:pPr>
            <w:r>
              <w:rPr>
                <w:sz w:val="15"/>
              </w:rPr>
              <w:t>0.525 / 0.538</w:t>
            </w:r>
          </w:p>
        </w:tc>
        <w:tc>
          <w:tcPr>
            <w:tcW w:type="dxa" w:w="1224"/>
            <w:tcMar>
              <w:top w:w="80" w:type="dxa"/>
              <w:start w:w="80" w:type="dxa"/>
              <w:bottom w:w="80" w:type="dxa"/>
              <w:end w:w="80" w:type="dxa"/>
            </w:tcMar>
            <w:vAlign w:val="center"/>
            <w:shd w:fill="F4F7FA"/>
          </w:tcPr>
          <w:p>
            <w:pPr>
              <w:spacing w:after="0"/>
            </w:pPr>
            <w:r>
              <w:rPr>
                <w:sz w:val="15"/>
              </w:rPr>
              <w:t>33.2 months</w:t>
            </w:r>
          </w:p>
        </w:tc>
      </w:tr>
      <w:tr>
        <w:tc>
          <w:tcPr>
            <w:tcW w:type="dxa" w:w="1440"/>
            <w:tcMar>
              <w:top w:w="80" w:type="dxa"/>
              <w:start w:w="80" w:type="dxa"/>
              <w:bottom w:w="80" w:type="dxa"/>
              <w:end w:w="80" w:type="dxa"/>
            </w:tcMar>
            <w:vAlign w:val="center"/>
          </w:tcPr>
          <w:p>
            <w:pPr>
              <w:spacing w:after="0"/>
            </w:pPr>
            <w:r>
              <w:rPr>
                <w:sz w:val="15"/>
              </w:rPr>
              <w:t>R03 / 250 mL</w:t>
            </w:r>
          </w:p>
        </w:tc>
        <w:tc>
          <w:tcPr>
            <w:tcW w:type="dxa" w:w="3024"/>
            <w:tcMar>
              <w:top w:w="80" w:type="dxa"/>
              <w:start w:w="80" w:type="dxa"/>
              <w:bottom w:w="80" w:type="dxa"/>
              <w:end w:w="80" w:type="dxa"/>
            </w:tcMar>
            <w:vAlign w:val="center"/>
          </w:tcPr>
          <w:p>
            <w:pPr>
              <w:spacing w:after="0"/>
            </w:pPr>
            <w:r>
              <w:rPr>
                <w:sz w:val="15"/>
              </w:rPr>
              <w:t>0.07, 0.11, 0.16, 0.21, 0.26, 0.35</w:t>
            </w:r>
          </w:p>
        </w:tc>
        <w:tc>
          <w:tcPr>
            <w:tcW w:type="dxa" w:w="1152"/>
            <w:tcMar>
              <w:top w:w="80" w:type="dxa"/>
              <w:start w:w="80" w:type="dxa"/>
              <w:bottom w:w="80" w:type="dxa"/>
              <w:end w:w="80" w:type="dxa"/>
            </w:tcMar>
            <w:vAlign w:val="center"/>
          </w:tcPr>
          <w:p>
            <w:pPr>
              <w:spacing w:after="0"/>
            </w:pPr>
            <w:r>
              <w:rPr>
                <w:sz w:val="15"/>
              </w:rPr>
              <w:t>0.015810</w:t>
            </w:r>
          </w:p>
        </w:tc>
        <w:tc>
          <w:tcPr>
            <w:tcW w:type="dxa" w:w="1008"/>
            <w:tcMar>
              <w:top w:w="80" w:type="dxa"/>
              <w:start w:w="80" w:type="dxa"/>
              <w:bottom w:w="80" w:type="dxa"/>
              <w:end w:w="80" w:type="dxa"/>
            </w:tcMar>
            <w:vAlign w:val="center"/>
          </w:tcPr>
          <w:p>
            <w:pPr>
              <w:spacing w:after="0"/>
            </w:pPr>
            <w:r>
              <w:rPr>
                <w:sz w:val="15"/>
              </w:rPr>
              <w:t>0.003381</w:t>
            </w:r>
          </w:p>
        </w:tc>
        <w:tc>
          <w:tcPr>
            <w:tcW w:type="dxa" w:w="1584"/>
            <w:tcMar>
              <w:top w:w="80" w:type="dxa"/>
              <w:start w:w="80" w:type="dxa"/>
              <w:bottom w:w="80" w:type="dxa"/>
              <w:end w:w="80" w:type="dxa"/>
            </w:tcMar>
            <w:vAlign w:val="center"/>
          </w:tcPr>
          <w:p>
            <w:pPr>
              <w:spacing w:after="0"/>
            </w:pPr>
            <w:r>
              <w:rPr>
                <w:sz w:val="15"/>
              </w:rPr>
              <w:t>0.446 / 0.455</w:t>
            </w:r>
          </w:p>
        </w:tc>
        <w:tc>
          <w:tcPr>
            <w:tcW w:type="dxa" w:w="1584"/>
            <w:tcMar>
              <w:top w:w="80" w:type="dxa"/>
              <w:start w:w="80" w:type="dxa"/>
              <w:bottom w:w="80" w:type="dxa"/>
              <w:end w:w="80" w:type="dxa"/>
            </w:tcMar>
            <w:vAlign w:val="center"/>
          </w:tcPr>
          <w:p>
            <w:pPr>
              <w:spacing w:after="0"/>
            </w:pPr>
            <w:r>
              <w:rPr>
                <w:sz w:val="15"/>
              </w:rPr>
              <w:t>0.636 / 0.650</w:t>
            </w:r>
          </w:p>
        </w:tc>
        <w:tc>
          <w:tcPr>
            <w:tcW w:type="dxa" w:w="1224"/>
            <w:tcMar>
              <w:top w:w="80" w:type="dxa"/>
              <w:start w:w="80" w:type="dxa"/>
              <w:bottom w:w="80" w:type="dxa"/>
              <w:end w:w="80" w:type="dxa"/>
            </w:tcMar>
            <w:vAlign w:val="center"/>
          </w:tcPr>
          <w:p>
            <w:pPr>
              <w:spacing w:after="0"/>
            </w:pPr>
            <w:r>
              <w:rPr>
                <w:sz w:val="15"/>
              </w:rPr>
              <w:t>26.8 months</w:t>
            </w:r>
          </w:p>
        </w:tc>
      </w:tr>
    </w:tbl>
    <w:p>
      <w:pPr>
        <w:widowControl/>
        <w:spacing w:after="0"/>
      </w:pPr>
    </w:p>
    <w:p>
      <w:pPr>
        <w:widowControl/>
      </w:pPr>
      <w:r>
        <w:t>The fitted values at 24 months remain below the 0.50% limit for all lots. At 36 months, both the fitted mean and one-sided 95% upper confidence bound exceed the limit for every lot. The 250 mL lot AVI401-R03 has the steepest fitted increase, highest fitted result at 24 and 36 months, and earliest confidence-bound intersection (approximately 26.8 months); it therefore remains the worst-case pack in the present dataset.</w:t>
      </w:r>
    </w:p>
    <w:p>
      <w:pPr>
        <w:widowControl/>
      </w:pPr>
      <w:r>
        <w:t>Accordingly, the present dataset does not support the proposed 36-month shelf life. Because verified long-term observations currently extend only through 18 months, Havenor proposes an 18-month shelf life at 25 °C/60% RH at this stage. Study STB-AVI401-002 will continue on the approved 24-, 30- and 36-month schedule. The verified 24-month results will be submitted as the next stability update under COM-AVI401-008 and will be used to reassess the supported shelf life. No early pull is proposed.</w:t>
      </w:r>
    </w:p>
    <w:p>
      <w:pPr>
        <w:widowControl/>
      </w:pPr>
      <w:r>
        <w:t>Source: AVT-STB-301, pp. 1–2; STB-AVI401-002_Long_Term_Results.xlsx, sheets “Lots,” “Results,” and “Pull Schedule”; AVT-SPEC-018 v03, §2 and table of tests.</w:t>
      </w:r>
    </w:p>
    <w:tbl>
      <w:tblPr>
        <w:tblStyle w:val="TableGrid"/>
        <w:tblW w:type="auto" w:w="0"/>
        <w:jc w:val="center"/>
        <w:tblLook w:firstColumn="1" w:firstRow="1" w:lastColumn="0" w:lastRow="0" w:noHBand="0" w:noVBand="1" w:val="04A0"/>
      </w:tblPr>
      <w:tblGrid>
        <w:gridCol w:w="10080"/>
      </w:tblGrid>
      <w:tr>
        <w:tc>
          <w:tcPr>
            <w:tcW w:type="dxa" w:w="10080"/>
            <w:shd w:fill="FFF2CC"/>
            <w:tcMar>
              <w:top w:w="100" w:type="dxa"/>
              <w:start w:w="120" w:type="dxa"/>
              <w:bottom w:w="100" w:type="dxa"/>
              <w:end w:w="120" w:type="dxa"/>
            </w:tcMar>
          </w:tcPr>
          <w:p>
            <w:r>
              <w:rPr>
                <w:b/>
                <w:sz w:val="18"/>
              </w:rPr>
              <w:t>INTERNAL: Calculations above were generated for this draft and must be independently verified. The 18-month shelf-life proposal is conservative and requires Regulatory/Quality approval. Do not replace observed data with the unapproved projections in Tomas Li’s planning workbook.</w:t>
            </w:r>
          </w:p>
        </w:tc>
      </w:tr>
    </w:tbl>
    <w:p>
      <w:pPr>
        <w:pStyle w:val="Heading2"/>
        <w:keepNext/>
        <w:widowControl/>
      </w:pPr>
      <w:r>
        <w:t>3. Registered overwrap oxygen transmission and headspace oxygen</w:t>
      </w:r>
    </w:p>
    <w:p>
      <w:pPr>
        <w:widowControl/>
      </w:pPr>
      <w:r>
        <w:t>The registered secondary overwrap is BF-51, PE/EVOH-32/PE. The available supplier file reports an oxygen-transmission rate of 2.4 cm³/m²·day·bar at 23 °C/65% RH (and 0.8 cm³/m²·day·bar at 23 °C/0% RH). The 65% RH value is the available humidity-relevant datum nearest the 25 °C/60% RH long-term condition; no conversion to 25 °C/60% RH has been made. Source: HFC-QN-2026-074, p. 1, comparison table.</w:t>
      </w:r>
    </w:p>
    <w:p>
      <w:pPr>
        <w:widowControl/>
      </w:pPr>
      <w:r>
        <w:t>The available approved records do not state a numerical residual-headspace-oxygen limit, a nitrogen-flush set point, or measured residual headspace oxygen for either the 100 mL or 250 mL registration fills. Havenor therefore cannot provide those values from the present file. [Insert controlled manufacturing record citation if located; otherwise retain this disclosure in the final response.]</w:t>
      </w:r>
    </w:p>
    <w:p>
      <w:pPr>
        <w:widowControl/>
      </w:pPr>
      <w:r>
        <w:t>BF-51 remains the registered overwrap. The proposed alternate HF-55 (MAT-OWR-005) is not authorized for implementation; change control CC-AVI401-017 remains at technical assessment with regulatory assessment not started and implementation blocked.</w:t>
      </w:r>
    </w:p>
    <w:tbl>
      <w:tblPr>
        <w:tblStyle w:val="TableGrid"/>
        <w:tblW w:type="auto" w:w="0"/>
        <w:jc w:val="center"/>
        <w:tblLook w:firstColumn="1" w:firstRow="1" w:lastColumn="0" w:lastRow="0" w:noHBand="0" w:noVBand="1" w:val="04A0"/>
      </w:tblPr>
      <w:tblGrid>
        <w:gridCol w:w="10080"/>
      </w:tblGrid>
      <w:tr>
        <w:tc>
          <w:tcPr>
            <w:tcW w:type="dxa" w:w="10080"/>
            <w:shd w:fill="FCE4D6"/>
            <w:tcMar>
              <w:top w:w="100" w:type="dxa"/>
              <w:start w:w="120" w:type="dxa"/>
              <w:bottom w:w="100" w:type="dxa"/>
              <w:end w:w="120" w:type="dxa"/>
            </w:tcMar>
          </w:tcPr>
          <w:p>
            <w:r>
              <w:rPr>
                <w:b/>
                <w:sz w:val="18"/>
              </w:rPr>
              <w:t>INTERNAL: Do not assert that the stability trend itself proves headspace control. Obtain batch/master-record evidence or retain the explicit “not in file” statement.</w:t>
            </w:r>
          </w:p>
        </w:tc>
      </w:tr>
    </w:tbl>
    <w:p>
      <w:pPr>
        <w:pStyle w:val="Heading2"/>
        <w:keepNext/>
        <w:widowControl/>
      </w:pPr>
      <w:r>
        <w:t>4. Accelerated Impurity A, intermediate study, and LAB-2025-114</w:t>
      </w:r>
    </w:p>
    <w:p>
      <w:pPr>
        <w:widowControl/>
      </w:pPr>
      <w:r>
        <w:t>The 6-month accelerated Impurity A result of 0.46% area for AVI401-R03 at 40 °C/75% RH remained within the registered limit of not more than 0.50%. Assay remained within 1.3% of initial for all three lots, and the approved interim report records no specification failure. On that basis, the result was not treated as a “significant change” under ICH Q1A(R2).</w:t>
      </w:r>
    </w:p>
    <w:p>
      <w:pPr>
        <w:widowControl/>
      </w:pPr>
      <w:r>
        <w:t>STB-AVI401-003 (30 °C/65% RH) was placed as a standing precaution for Zone II markets in the registration plan, not as the response to an accelerated significant-change finding. It therefore should not be characterised as the “complete response” to such a finding. Available intermediate results through 12 months comply with AVI401-SPEC-v03. Source: AVT-STB-301, p. 1, §3; AVI-401_Accelerated_and_Intermediate_Results.xlsx, sheets “Studies” and “Results.”</w:t>
      </w:r>
    </w:p>
    <w:p>
      <w:pPr>
        <w:widowControl/>
      </w:pPr>
      <w:r>
        <w:t>For LAB-2025-114, the assignable cause was a mobile-phase preparation error confirmed against the balance printout; system-suitability tailing was outside method limits. The original Impurity B run for STB-AVI401-001 / AVI401-R02 / 6 months was invalidated, and the reportable confirmatory result from the retained sample was 0.14% area (limit NMT 0.30%). Source: AVI-401_Accelerated_and_Intermediate_Results.xlsx, sheets “Laboratory Events” and “Results.”</w:t>
      </w:r>
    </w:p>
    <w:p>
      <w:pPr>
        <w:widowControl/>
      </w:pPr>
      <w:r>
        <w:t>The event extract available for this response does not contain the sequence list or a documented campaign-wide assessment showing whether the same mobile phase was used for any other reported sequence. Havenor therefore cannot confirm campaign-wide non-impact from that extract alone. [Insert approved LAB-2025-114 investigation citation and conclusion if obtained.]</w:t>
      </w:r>
    </w:p>
    <w:tbl>
      <w:tblPr>
        <w:tblStyle w:val="TableGrid"/>
        <w:tblW w:type="auto" w:w="0"/>
        <w:jc w:val="center"/>
        <w:tblLook w:firstColumn="1" w:firstRow="1" w:lastColumn="0" w:lastRow="0" w:noHBand="0" w:noVBand="1" w:val="04A0"/>
      </w:tblPr>
      <w:tblGrid>
        <w:gridCol w:w="10080"/>
      </w:tblGrid>
      <w:tr>
        <w:tc>
          <w:tcPr>
            <w:tcW w:type="dxa" w:w="10080"/>
            <w:shd w:fill="FCE4D6"/>
            <w:tcMar>
              <w:top w:w="100" w:type="dxa"/>
              <w:start w:w="120" w:type="dxa"/>
              <w:bottom w:w="100" w:type="dxa"/>
              <w:end w:w="120" w:type="dxa"/>
            </w:tcMar>
          </w:tcPr>
          <w:p>
            <w:r>
              <w:rPr>
                <w:b/>
                <w:sz w:val="18"/>
              </w:rPr>
              <w:t>INTERNAL: A closed status alone is insufficient to answer the authority’s campaign-scope question. Obtain the complete investigation/audit-trail review.</w:t>
            </w:r>
          </w:p>
        </w:tc>
      </w:tr>
    </w:tbl>
    <w:p>
      <w:pPr>
        <w:pStyle w:val="Heading2"/>
        <w:keepNext/>
        <w:widowControl/>
      </w:pPr>
      <w:r>
        <w:t>5. Filter validation boundary and production coverage</w:t>
      </w:r>
    </w:p>
    <w:p>
      <w:pPr>
        <w:widowControl/>
      </w:pPr>
      <w:r>
        <w:t>AVT-VAL-104 challenged the sterilised PVDF membrane with eight-hour recirculating AVI-401 contact at 30 °C and 2.1 bar differential pressure after two autoclave cycles. AVT-VAL-105 used a 24-hour exaggerated extraction at 40 °C and an eight-hour AVI-401 process simulation at 30 °C. Both identify the 47 mm hydrophilic PVDF disc (effective test area 13.8 cm² in the approved AVT-VAL-105-P protocol) as representative of the 254 mm production cartridge and support MAT-FLT-022/FT-AVI401-02 within the stated validated boundaries. Source: AVT-VAL-104, pp. 3 and 5; AVT-VAL-105, pp. 3 and 5; AVT-VAL-105-P v01, pp. 4 and 6.</w:t>
      </w:r>
    </w:p>
    <w:p>
      <w:pPr>
        <w:widowControl/>
      </w:pPr>
      <w:r>
        <w:t>The approved records available for this response do not state the numerical routine production filtration time or product-temperature limit. They also do not provide the membrane-area-to-product-mass values or calculation needed to demonstrate that the disc scale-down is conservative for extractables. Accordingly, those confirmations cannot be made from the present file. [Insert approved master production record/process-validation citation and the scale-down calculation when obtained.]</w:t>
      </w:r>
    </w:p>
    <w:p>
      <w:pPr>
        <w:widowControl/>
      </w:pPr>
      <w:r>
        <w:t>The controlled process summary states that approved hold-time controls apply, but does not state their duration. No available record demonstrates that filtered bulk is permitted to be held longer than eight hours. Any contact or hold beyond eight hours, temperature above 30 °C, pressure above 2.1 bar, or changed effective area would be outside the cited validation boundary and would require assessment before use. Source: AVT-MFG-PCS-012, p. 1; AVT-VAL-104, pp. 14–15; AVT-VAL-105, pp. 30–31.</w:t>
      </w:r>
    </w:p>
    <w:tbl>
      <w:tblPr>
        <w:tblStyle w:val="TableGrid"/>
        <w:tblW w:type="auto" w:w="0"/>
        <w:jc w:val="center"/>
        <w:tblLook w:firstColumn="1" w:firstRow="1" w:lastColumn="0" w:lastRow="0" w:noHBand="0" w:noVBand="1" w:val="04A0"/>
      </w:tblPr>
      <w:tblGrid>
        <w:gridCol w:w="10080"/>
      </w:tblGrid>
      <w:tr>
        <w:tc>
          <w:tcPr>
            <w:tcW w:type="dxa" w:w="10080"/>
            <w:shd w:fill="FCE4D6"/>
            <w:tcMar>
              <w:top w:w="100" w:type="dxa"/>
              <w:start w:w="120" w:type="dxa"/>
              <w:bottom w:w="100" w:type="dxa"/>
              <w:end w:w="120" w:type="dxa"/>
            </w:tcMar>
          </w:tcPr>
          <w:p>
            <w:r>
              <w:rPr>
                <w:b/>
                <w:sz w:val="18"/>
              </w:rPr>
              <w:t>INTERNAL: Final response requires positive confirmation from an approved executed/master process record, not inference from the validation report.</w:t>
            </w:r>
          </w:p>
        </w:tc>
      </w:tr>
    </w:tbl>
    <w:p>
      <w:pPr>
        <w:pStyle w:val="Heading2"/>
        <w:keepNext/>
        <w:widowControl/>
      </w:pPr>
      <w:r>
        <w:t>6. Administration-set compatibility</w:t>
      </w:r>
    </w:p>
    <w:p>
      <w:pPr>
        <w:widowControl/>
      </w:pPr>
      <w:r>
        <w:t>AVT-VAL-203 confirms in outline that three independent executions met its approved acceptance criteria and that the challenged contact duration was the maximum routine duration plus 20%. However, the approved report available for this response does not identify the numerical infusion duration, the administration-set materials, the analytical evaluation threshold, or analyte results for the last collected fraction. Havenor therefore cannot provide the requested values from AVT-VAL-203 as filed. Source: AVT-VAL-203, pp. 4–5 and 7.</w:t>
      </w:r>
    </w:p>
    <w:p>
      <w:pPr>
        <w:widowControl/>
      </w:pPr>
      <w:r>
        <w:t>[Insert the controlled protocol/raw-data citation and state: (i) infusion duration; (ii) tubing, drip chamber, connector and any plasticiser materials; (iii) AET and units; and (iv) whether any leachable above the AET was observed in the final fraction. If the underlying record does not contain these data, retain an explicit statement that they were not measured.]</w:t>
      </w:r>
    </w:p>
    <w:tbl>
      <w:tblPr>
        <w:tblStyle w:val="TableGrid"/>
        <w:tblW w:type="auto" w:w="0"/>
        <w:jc w:val="center"/>
        <w:tblLook w:firstColumn="1" w:firstRow="1" w:lastColumn="0" w:lastRow="0" w:noHBand="0" w:noVBand="1" w:val="04A0"/>
      </w:tblPr>
      <w:tblGrid>
        <w:gridCol w:w="10080"/>
      </w:tblGrid>
      <w:tr>
        <w:tc>
          <w:tcPr>
            <w:tcW w:type="dxa" w:w="10080"/>
            <w:shd w:fill="FCE4D6"/>
            <w:tcMar>
              <w:top w:w="100" w:type="dxa"/>
              <w:start w:w="120" w:type="dxa"/>
              <w:bottom w:w="100" w:type="dxa"/>
              <w:end w:w="120" w:type="dxa"/>
            </w:tcMar>
          </w:tcPr>
          <w:p>
            <w:r>
              <w:rPr>
                <w:b/>
                <w:sz w:val="18"/>
              </w:rPr>
              <w:t>INTERNAL: This point is not submission-ready. Do not infer “no leachable above AET” from the generic pass conclusion.</w:t>
            </w:r>
          </w:p>
        </w:tc>
      </w:tr>
    </w:tbl>
    <w:p>
      <w:pPr>
        <w:pStyle w:val="Heading2"/>
        <w:keepNext/>
        <w:widowControl/>
      </w:pPr>
      <w:r>
        <w:t>7. 24-month long-term stability update</w:t>
      </w:r>
    </w:p>
    <w:p>
      <w:pPr>
        <w:widowControl/>
      </w:pPr>
      <w:r>
        <w:t>The 24-month long-term pull for STB-AVI401-002 is scheduled for 1 March 2027 for lots AVI401-R01, AVI401-R02 and AVI401-R03 at 25 °C/60% RH. As of 8 February 2027, the pull has not occurred and no 24-month result is available. Havenor will provide the verified 24-month results as the next stability update under commitment COM-AVI401-008. No earlier pull will be performed solely to answer this information request. Source: STB-AVI401-002_Study_Status.xlsx, sheets “Study” and “Pull Schedule.”</w:t>
      </w:r>
    </w:p>
    <w:tbl>
      <w:tblPr>
        <w:tblStyle w:val="TableGrid"/>
        <w:tblW w:type="auto" w:w="0"/>
        <w:jc w:val="center"/>
        <w:tblLook w:firstColumn="1" w:firstRow="1" w:lastColumn="0" w:lastRow="0" w:noHBand="0" w:noVBand="1" w:val="04A0"/>
      </w:tblPr>
      <w:tblGrid>
        <w:gridCol w:w="10080"/>
      </w:tblGrid>
      <w:tr>
        <w:tc>
          <w:tcPr>
            <w:tcW w:type="dxa" w:w="10080"/>
            <w:shd w:fill="FFF2CC"/>
            <w:tcMar>
              <w:top w:w="100" w:type="dxa"/>
              <w:start w:w="120" w:type="dxa"/>
              <w:bottom w:w="100" w:type="dxa"/>
              <w:end w:w="120" w:type="dxa"/>
            </w:tcMar>
          </w:tcPr>
          <w:p>
            <w:r>
              <w:rPr>
                <w:b/>
                <w:sz w:val="18"/>
              </w:rPr>
              <w:t>INTERNAL: Do not promise inclusion with the 20 March response unless the complete result set is verified and released. Existing working plans show impurity testing after 20 March and CCI in April and are not approved.</w:t>
            </w:r>
          </w:p>
        </w:tc>
      </w:tr>
    </w:tbl>
    <w:p>
      <w:pPr>
        <w:pStyle w:val="Heading2"/>
        <w:keepNext/>
        <w:widowControl/>
      </w:pPr>
      <w:r>
        <w:t>Closing statement</w:t>
      </w:r>
    </w:p>
    <w:p>
      <w:pPr>
        <w:widowControl/>
      </w:pPr>
      <w:r>
        <w:t>Havenor respectfully submits the above information in response to the Authority’s questions. The applicant will continue STB-AVI401-002 on the approved schedule and will provide verified 24-month data under COM-AVI401-008.</w:t>
      </w:r>
    </w:p>
    <w:p>
      <w:pPr>
        <w:widowControl/>
      </w:pPr>
      <w:r>
        <w:br w:type="page"/>
      </w:r>
    </w:p>
    <w:p>
      <w:pPr>
        <w:pStyle w:val="Heading1"/>
        <w:keepNext/>
        <w:widowControl/>
      </w:pPr>
      <w:r>
        <w:t>Appendix 1 — Calculation details for Impurity A</w:t>
      </w:r>
    </w:p>
    <w:p>
      <w:pPr>
        <w:widowControl/>
      </w:pPr>
      <w:r>
        <w:t>Input data are the reportable STB-AVI401-002 Impurity A values in the controlled long-term results workbook. All calculations use unrounded coefficients; displayed values are rounded only for presentation.</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3456"/>
            <w:shd w:fill="1F4E78"/>
            <w:vAlign w:val="center"/>
            <w:tcMar>
              <w:top w:w="80" w:type="dxa"/>
              <w:start w:w="80" w:type="dxa"/>
              <w:bottom w:w="80" w:type="dxa"/>
              <w:end w:w="80" w:type="dxa"/>
            </w:tcMar>
          </w:tcPr>
          <w:p>
            <w:r>
              <w:rPr>
                <w:b/>
                <w:color w:val="FFFFFF"/>
                <w:sz w:val="16"/>
              </w:rPr>
              <w:t>Parameter</w:t>
            </w:r>
          </w:p>
        </w:tc>
        <w:tc>
          <w:tcPr>
            <w:tcW w:type="dxa" w:w="2376"/>
            <w:shd w:fill="1F4E78"/>
            <w:vAlign w:val="center"/>
            <w:tcMar>
              <w:top w:w="80" w:type="dxa"/>
              <w:start w:w="80" w:type="dxa"/>
              <w:bottom w:w="80" w:type="dxa"/>
              <w:end w:w="80" w:type="dxa"/>
            </w:tcMar>
          </w:tcPr>
          <w:p>
            <w:r>
              <w:rPr>
                <w:b/>
                <w:color w:val="FFFFFF"/>
                <w:sz w:val="16"/>
              </w:rPr>
              <w:t>AVI401-R01</w:t>
            </w:r>
          </w:p>
        </w:tc>
        <w:tc>
          <w:tcPr>
            <w:tcW w:type="dxa" w:w="2376"/>
            <w:shd w:fill="1F4E78"/>
            <w:vAlign w:val="center"/>
            <w:tcMar>
              <w:top w:w="80" w:type="dxa"/>
              <w:start w:w="80" w:type="dxa"/>
              <w:bottom w:w="80" w:type="dxa"/>
              <w:end w:w="80" w:type="dxa"/>
            </w:tcMar>
          </w:tcPr>
          <w:p>
            <w:r>
              <w:rPr>
                <w:b/>
                <w:color w:val="FFFFFF"/>
                <w:sz w:val="16"/>
              </w:rPr>
              <w:t>AVI401-R02</w:t>
            </w:r>
          </w:p>
        </w:tc>
        <w:tc>
          <w:tcPr>
            <w:tcW w:type="dxa" w:w="2376"/>
            <w:shd w:fill="1F4E78"/>
            <w:vAlign w:val="center"/>
            <w:tcMar>
              <w:top w:w="80" w:type="dxa"/>
              <w:start w:w="80" w:type="dxa"/>
              <w:bottom w:w="80" w:type="dxa"/>
              <w:end w:w="80" w:type="dxa"/>
            </w:tcMar>
          </w:tcPr>
          <w:p>
            <w:r>
              <w:rPr>
                <w:b/>
                <w:color w:val="FFFFFF"/>
                <w:sz w:val="16"/>
              </w:rPr>
              <w:t>AVI401-R03</w:t>
            </w:r>
          </w:p>
        </w:tc>
      </w:tr>
      <w:tr>
        <w:tc>
          <w:tcPr>
            <w:tcW w:type="dxa" w:w="3456"/>
            <w:tcMar>
              <w:top w:w="80" w:type="dxa"/>
              <w:start w:w="80" w:type="dxa"/>
              <w:bottom w:w="80" w:type="dxa"/>
              <w:end w:w="80" w:type="dxa"/>
            </w:tcMar>
            <w:vAlign w:val="center"/>
          </w:tcPr>
          <w:p>
            <w:pPr>
              <w:spacing w:after="0"/>
            </w:pPr>
            <w:r>
              <w:rPr>
                <w:sz w:val="16"/>
              </w:rPr>
              <w:t>Presentation</w:t>
            </w:r>
          </w:p>
        </w:tc>
        <w:tc>
          <w:tcPr>
            <w:tcW w:type="dxa" w:w="2376"/>
            <w:tcMar>
              <w:top w:w="80" w:type="dxa"/>
              <w:start w:w="80" w:type="dxa"/>
              <w:bottom w:w="80" w:type="dxa"/>
              <w:end w:w="80" w:type="dxa"/>
            </w:tcMar>
            <w:vAlign w:val="center"/>
          </w:tcPr>
          <w:p>
            <w:pPr>
              <w:spacing w:after="0"/>
            </w:pPr>
            <w:r>
              <w:rPr>
                <w:sz w:val="16"/>
              </w:rPr>
              <w:t>100 mL</w:t>
            </w:r>
          </w:p>
        </w:tc>
        <w:tc>
          <w:tcPr>
            <w:tcW w:type="dxa" w:w="2376"/>
            <w:tcMar>
              <w:top w:w="80" w:type="dxa"/>
              <w:start w:w="80" w:type="dxa"/>
              <w:bottom w:w="80" w:type="dxa"/>
              <w:end w:w="80" w:type="dxa"/>
            </w:tcMar>
            <w:vAlign w:val="center"/>
          </w:tcPr>
          <w:p>
            <w:pPr>
              <w:spacing w:after="0"/>
            </w:pPr>
            <w:r>
              <w:rPr>
                <w:sz w:val="16"/>
              </w:rPr>
              <w:t>100 mL</w:t>
            </w:r>
          </w:p>
        </w:tc>
        <w:tc>
          <w:tcPr>
            <w:tcW w:type="dxa" w:w="2376"/>
            <w:tcMar>
              <w:top w:w="80" w:type="dxa"/>
              <w:start w:w="80" w:type="dxa"/>
              <w:bottom w:w="80" w:type="dxa"/>
              <w:end w:w="80" w:type="dxa"/>
            </w:tcMar>
            <w:vAlign w:val="center"/>
          </w:tcPr>
          <w:p>
            <w:pPr>
              <w:spacing w:after="0"/>
            </w:pPr>
            <w:r>
              <w:rPr>
                <w:sz w:val="16"/>
              </w:rPr>
              <w:t>250 mL</w:t>
            </w:r>
          </w:p>
        </w:tc>
      </w:tr>
      <w:tr>
        <w:tc>
          <w:tcPr>
            <w:tcW w:type="dxa" w:w="3456"/>
            <w:tcMar>
              <w:top w:w="80" w:type="dxa"/>
              <w:start w:w="80" w:type="dxa"/>
              <w:bottom w:w="80" w:type="dxa"/>
              <w:end w:w="80" w:type="dxa"/>
            </w:tcMar>
            <w:vAlign w:val="center"/>
            <w:shd w:fill="F4F7FA"/>
          </w:tcPr>
          <w:p>
            <w:pPr>
              <w:spacing w:after="0"/>
            </w:pPr>
            <w:r>
              <w:rPr>
                <w:sz w:val="16"/>
              </w:rPr>
              <w:t>n / df</w:t>
            </w:r>
          </w:p>
        </w:tc>
        <w:tc>
          <w:tcPr>
            <w:tcW w:type="dxa" w:w="2376"/>
            <w:tcMar>
              <w:top w:w="80" w:type="dxa"/>
              <w:start w:w="80" w:type="dxa"/>
              <w:bottom w:w="80" w:type="dxa"/>
              <w:end w:w="80" w:type="dxa"/>
            </w:tcMar>
            <w:vAlign w:val="center"/>
            <w:shd w:fill="F4F7FA"/>
          </w:tcPr>
          <w:p>
            <w:pPr>
              <w:spacing w:after="0"/>
            </w:pPr>
            <w:r>
              <w:rPr>
                <w:sz w:val="16"/>
              </w:rPr>
              <w:t>6 / 4</w:t>
            </w:r>
          </w:p>
        </w:tc>
        <w:tc>
          <w:tcPr>
            <w:tcW w:type="dxa" w:w="2376"/>
            <w:tcMar>
              <w:top w:w="80" w:type="dxa"/>
              <w:start w:w="80" w:type="dxa"/>
              <w:bottom w:w="80" w:type="dxa"/>
              <w:end w:w="80" w:type="dxa"/>
            </w:tcMar>
            <w:vAlign w:val="center"/>
            <w:shd w:fill="F4F7FA"/>
          </w:tcPr>
          <w:p>
            <w:pPr>
              <w:spacing w:after="0"/>
            </w:pPr>
            <w:r>
              <w:rPr>
                <w:sz w:val="16"/>
              </w:rPr>
              <w:t>6 / 4</w:t>
            </w:r>
          </w:p>
        </w:tc>
        <w:tc>
          <w:tcPr>
            <w:tcW w:type="dxa" w:w="2376"/>
            <w:tcMar>
              <w:top w:w="80" w:type="dxa"/>
              <w:start w:w="80" w:type="dxa"/>
              <w:bottom w:w="80" w:type="dxa"/>
              <w:end w:w="80" w:type="dxa"/>
            </w:tcMar>
            <w:vAlign w:val="center"/>
            <w:shd w:fill="F4F7FA"/>
          </w:tcPr>
          <w:p>
            <w:pPr>
              <w:spacing w:after="0"/>
            </w:pPr>
            <w:r>
              <w:rPr>
                <w:sz w:val="16"/>
              </w:rPr>
              <w:t>6 / 4</w:t>
            </w:r>
          </w:p>
        </w:tc>
      </w:tr>
      <w:tr>
        <w:tc>
          <w:tcPr>
            <w:tcW w:type="dxa" w:w="3456"/>
            <w:tcMar>
              <w:top w:w="80" w:type="dxa"/>
              <w:start w:w="80" w:type="dxa"/>
              <w:bottom w:w="80" w:type="dxa"/>
              <w:end w:w="80" w:type="dxa"/>
            </w:tcMar>
            <w:vAlign w:val="center"/>
          </w:tcPr>
          <w:p>
            <w:pPr>
              <w:spacing w:after="0"/>
            </w:pPr>
            <w:r>
              <w:rPr>
                <w:sz w:val="16"/>
              </w:rPr>
              <w:t>Intercept, a (% area)</w:t>
            </w:r>
          </w:p>
        </w:tc>
        <w:tc>
          <w:tcPr>
            <w:tcW w:type="dxa" w:w="2376"/>
            <w:tcMar>
              <w:top w:w="80" w:type="dxa"/>
              <w:start w:w="80" w:type="dxa"/>
              <w:bottom w:w="80" w:type="dxa"/>
              <w:end w:w="80" w:type="dxa"/>
            </w:tcMar>
            <w:vAlign w:val="center"/>
          </w:tcPr>
          <w:p>
            <w:pPr>
              <w:spacing w:after="0"/>
            </w:pPr>
            <w:r>
              <w:rPr>
                <w:sz w:val="16"/>
              </w:rPr>
              <w:t>0.05128571</w:t>
            </w:r>
          </w:p>
        </w:tc>
        <w:tc>
          <w:tcPr>
            <w:tcW w:type="dxa" w:w="2376"/>
            <w:tcMar>
              <w:top w:w="80" w:type="dxa"/>
              <w:start w:w="80" w:type="dxa"/>
              <w:bottom w:w="80" w:type="dxa"/>
              <w:end w:w="80" w:type="dxa"/>
            </w:tcMar>
            <w:vAlign w:val="center"/>
          </w:tcPr>
          <w:p>
            <w:pPr>
              <w:spacing w:after="0"/>
            </w:pPr>
            <w:r>
              <w:rPr>
                <w:sz w:val="16"/>
              </w:rPr>
              <w:t>0.06214286</w:t>
            </w:r>
          </w:p>
        </w:tc>
        <w:tc>
          <w:tcPr>
            <w:tcW w:type="dxa" w:w="2376"/>
            <w:tcMar>
              <w:top w:w="80" w:type="dxa"/>
              <w:start w:w="80" w:type="dxa"/>
              <w:bottom w:w="80" w:type="dxa"/>
              <w:end w:w="80" w:type="dxa"/>
            </w:tcMar>
            <w:vAlign w:val="center"/>
          </w:tcPr>
          <w:p>
            <w:pPr>
              <w:spacing w:after="0"/>
            </w:pPr>
            <w:r>
              <w:rPr>
                <w:sz w:val="16"/>
              </w:rPr>
              <w:t>0.06685714</w:t>
            </w:r>
          </w:p>
        </w:tc>
      </w:tr>
      <w:tr>
        <w:tc>
          <w:tcPr>
            <w:tcW w:type="dxa" w:w="3456"/>
            <w:tcMar>
              <w:top w:w="80" w:type="dxa"/>
              <w:start w:w="80" w:type="dxa"/>
              <w:bottom w:w="80" w:type="dxa"/>
              <w:end w:w="80" w:type="dxa"/>
            </w:tcMar>
            <w:vAlign w:val="center"/>
            <w:shd w:fill="F4F7FA"/>
          </w:tcPr>
          <w:p>
            <w:pPr>
              <w:spacing w:after="0"/>
            </w:pPr>
            <w:r>
              <w:rPr>
                <w:sz w:val="16"/>
              </w:rPr>
              <w:t>Slope, b (% area/month)</w:t>
            </w:r>
          </w:p>
        </w:tc>
        <w:tc>
          <w:tcPr>
            <w:tcW w:type="dxa" w:w="2376"/>
            <w:tcMar>
              <w:top w:w="80" w:type="dxa"/>
              <w:start w:w="80" w:type="dxa"/>
              <w:bottom w:w="80" w:type="dxa"/>
              <w:end w:w="80" w:type="dxa"/>
            </w:tcMar>
            <w:vAlign w:val="center"/>
            <w:shd w:fill="F4F7FA"/>
          </w:tcPr>
          <w:p>
            <w:pPr>
              <w:spacing w:after="0"/>
            </w:pPr>
            <w:r>
              <w:rPr>
                <w:sz w:val="16"/>
              </w:rPr>
              <w:t>0.01338095</w:t>
            </w:r>
          </w:p>
        </w:tc>
        <w:tc>
          <w:tcPr>
            <w:tcW w:type="dxa" w:w="2376"/>
            <w:tcMar>
              <w:top w:w="80" w:type="dxa"/>
              <w:start w:w="80" w:type="dxa"/>
              <w:bottom w:w="80" w:type="dxa"/>
              <w:end w:w="80" w:type="dxa"/>
            </w:tcMar>
            <w:vAlign w:val="center"/>
            <w:shd w:fill="F4F7FA"/>
          </w:tcPr>
          <w:p>
            <w:pPr>
              <w:spacing w:after="0"/>
            </w:pPr>
            <w:r>
              <w:rPr>
                <w:sz w:val="16"/>
              </w:rPr>
              <w:t>0.01285714</w:t>
            </w:r>
          </w:p>
        </w:tc>
        <w:tc>
          <w:tcPr>
            <w:tcW w:type="dxa" w:w="2376"/>
            <w:tcMar>
              <w:top w:w="80" w:type="dxa"/>
              <w:start w:w="80" w:type="dxa"/>
              <w:bottom w:w="80" w:type="dxa"/>
              <w:end w:w="80" w:type="dxa"/>
            </w:tcMar>
            <w:vAlign w:val="center"/>
            <w:shd w:fill="F4F7FA"/>
          </w:tcPr>
          <w:p>
            <w:pPr>
              <w:spacing w:after="0"/>
            </w:pPr>
            <w:r>
              <w:rPr>
                <w:sz w:val="16"/>
              </w:rPr>
              <w:t>0.01580952</w:t>
            </w:r>
          </w:p>
        </w:tc>
      </w:tr>
      <w:tr>
        <w:tc>
          <w:tcPr>
            <w:tcW w:type="dxa" w:w="3456"/>
            <w:tcMar>
              <w:top w:w="80" w:type="dxa"/>
              <w:start w:w="80" w:type="dxa"/>
              <w:bottom w:w="80" w:type="dxa"/>
              <w:end w:w="80" w:type="dxa"/>
            </w:tcMar>
            <w:vAlign w:val="center"/>
          </w:tcPr>
          <w:p>
            <w:pPr>
              <w:spacing w:after="0"/>
            </w:pPr>
            <w:r>
              <w:rPr>
                <w:sz w:val="16"/>
              </w:rPr>
              <w:t>Residual standard error (%)</w:t>
            </w:r>
          </w:p>
        </w:tc>
        <w:tc>
          <w:tcPr>
            <w:tcW w:type="dxa" w:w="2376"/>
            <w:tcMar>
              <w:top w:w="80" w:type="dxa"/>
              <w:start w:w="80" w:type="dxa"/>
              <w:bottom w:w="80" w:type="dxa"/>
              <w:end w:w="80" w:type="dxa"/>
            </w:tcMar>
            <w:vAlign w:val="center"/>
          </w:tcPr>
          <w:p>
            <w:pPr>
              <w:spacing w:after="0"/>
            </w:pPr>
            <w:r>
              <w:rPr>
                <w:sz w:val="16"/>
              </w:rPr>
              <w:t>0.00840918</w:t>
            </w:r>
          </w:p>
        </w:tc>
        <w:tc>
          <w:tcPr>
            <w:tcW w:type="dxa" w:w="2376"/>
            <w:tcMar>
              <w:top w:w="80" w:type="dxa"/>
              <w:start w:w="80" w:type="dxa"/>
              <w:bottom w:w="80" w:type="dxa"/>
              <w:end w:w="80" w:type="dxa"/>
            </w:tcMar>
            <w:vAlign w:val="center"/>
          </w:tcPr>
          <w:p>
            <w:pPr>
              <w:spacing w:after="0"/>
            </w:pPr>
            <w:r>
              <w:rPr>
                <w:sz w:val="16"/>
              </w:rPr>
              <w:t>0.00298807</w:t>
            </w:r>
          </w:p>
        </w:tc>
        <w:tc>
          <w:tcPr>
            <w:tcW w:type="dxa" w:w="2376"/>
            <w:tcMar>
              <w:top w:w="80" w:type="dxa"/>
              <w:start w:w="80" w:type="dxa"/>
              <w:bottom w:w="80" w:type="dxa"/>
              <w:end w:w="80" w:type="dxa"/>
            </w:tcMar>
            <w:vAlign w:val="center"/>
          </w:tcPr>
          <w:p>
            <w:pPr>
              <w:spacing w:after="0"/>
            </w:pPr>
            <w:r>
              <w:rPr>
                <w:sz w:val="16"/>
              </w:rPr>
              <w:t>0.00338062</w:t>
            </w:r>
          </w:p>
        </w:tc>
      </w:tr>
      <w:tr>
        <w:tc>
          <w:tcPr>
            <w:tcW w:type="dxa" w:w="3456"/>
            <w:tcMar>
              <w:top w:w="80" w:type="dxa"/>
              <w:start w:w="80" w:type="dxa"/>
              <w:bottom w:w="80" w:type="dxa"/>
              <w:end w:w="80" w:type="dxa"/>
            </w:tcMar>
            <w:vAlign w:val="center"/>
            <w:shd w:fill="F4F7FA"/>
          </w:tcPr>
          <w:p>
            <w:pPr>
              <w:spacing w:after="0"/>
            </w:pPr>
            <w:r>
              <w:rPr>
                <w:sz w:val="16"/>
              </w:rPr>
              <w:t>R²</w:t>
            </w:r>
          </w:p>
        </w:tc>
        <w:tc>
          <w:tcPr>
            <w:tcW w:type="dxa" w:w="2376"/>
            <w:tcMar>
              <w:top w:w="80" w:type="dxa"/>
              <w:start w:w="80" w:type="dxa"/>
              <w:bottom w:w="80" w:type="dxa"/>
              <w:end w:w="80" w:type="dxa"/>
            </w:tcMar>
            <w:vAlign w:val="center"/>
            <w:shd w:fill="F4F7FA"/>
          </w:tcPr>
          <w:p>
            <w:pPr>
              <w:spacing w:after="0"/>
            </w:pPr>
            <w:r>
              <w:rPr>
                <w:sz w:val="16"/>
              </w:rPr>
              <w:t>0.992533</w:t>
            </w:r>
          </w:p>
        </w:tc>
        <w:tc>
          <w:tcPr>
            <w:tcW w:type="dxa" w:w="2376"/>
            <w:tcMar>
              <w:top w:w="80" w:type="dxa"/>
              <w:start w:w="80" w:type="dxa"/>
              <w:bottom w:w="80" w:type="dxa"/>
              <w:end w:w="80" w:type="dxa"/>
            </w:tcMar>
            <w:vAlign w:val="center"/>
            <w:shd w:fill="F4F7FA"/>
          </w:tcPr>
          <w:p>
            <w:pPr>
              <w:spacing w:after="0"/>
            </w:pPr>
            <w:r>
              <w:rPr>
                <w:sz w:val="16"/>
              </w:rPr>
              <w:t>0.998972</w:t>
            </w:r>
          </w:p>
        </w:tc>
        <w:tc>
          <w:tcPr>
            <w:tcW w:type="dxa" w:w="2376"/>
            <w:tcMar>
              <w:top w:w="80" w:type="dxa"/>
              <w:start w:w="80" w:type="dxa"/>
              <w:bottom w:w="80" w:type="dxa"/>
              <w:end w:w="80" w:type="dxa"/>
            </w:tcMar>
            <w:vAlign w:val="center"/>
            <w:shd w:fill="F4F7FA"/>
          </w:tcPr>
          <w:p>
            <w:pPr>
              <w:spacing w:after="0"/>
            </w:pPr>
            <w:r>
              <w:rPr>
                <w:sz w:val="16"/>
              </w:rPr>
              <w:t>0.999130</w:t>
            </w:r>
          </w:p>
        </w:tc>
      </w:tr>
      <w:tr>
        <w:tc>
          <w:tcPr>
            <w:tcW w:type="dxa" w:w="3456"/>
            <w:tcMar>
              <w:top w:w="80" w:type="dxa"/>
              <w:start w:w="80" w:type="dxa"/>
              <w:bottom w:w="80" w:type="dxa"/>
              <w:end w:w="80" w:type="dxa"/>
            </w:tcMar>
            <w:vAlign w:val="center"/>
          </w:tcPr>
          <w:p>
            <w:pPr>
              <w:spacing w:after="0"/>
            </w:pPr>
            <w:r>
              <w:rPr>
                <w:sz w:val="16"/>
              </w:rPr>
              <w:t>Fitted mean at 24 m (%)</w:t>
            </w:r>
          </w:p>
        </w:tc>
        <w:tc>
          <w:tcPr>
            <w:tcW w:type="dxa" w:w="2376"/>
            <w:tcMar>
              <w:top w:w="80" w:type="dxa"/>
              <w:start w:w="80" w:type="dxa"/>
              <w:bottom w:w="80" w:type="dxa"/>
              <w:end w:w="80" w:type="dxa"/>
            </w:tcMar>
            <w:vAlign w:val="center"/>
          </w:tcPr>
          <w:p>
            <w:pPr>
              <w:spacing w:after="0"/>
            </w:pPr>
            <w:r>
              <w:rPr>
                <w:sz w:val="16"/>
              </w:rPr>
              <w:t>0.372429</w:t>
            </w:r>
          </w:p>
        </w:tc>
        <w:tc>
          <w:tcPr>
            <w:tcW w:type="dxa" w:w="2376"/>
            <w:tcMar>
              <w:top w:w="80" w:type="dxa"/>
              <w:start w:w="80" w:type="dxa"/>
              <w:bottom w:w="80" w:type="dxa"/>
              <w:end w:w="80" w:type="dxa"/>
            </w:tcMar>
            <w:vAlign w:val="center"/>
          </w:tcPr>
          <w:p>
            <w:pPr>
              <w:spacing w:after="0"/>
            </w:pPr>
            <w:r>
              <w:rPr>
                <w:sz w:val="16"/>
              </w:rPr>
              <w:t>0.370714</w:t>
            </w:r>
          </w:p>
        </w:tc>
        <w:tc>
          <w:tcPr>
            <w:tcW w:type="dxa" w:w="2376"/>
            <w:tcMar>
              <w:top w:w="80" w:type="dxa"/>
              <w:start w:w="80" w:type="dxa"/>
              <w:bottom w:w="80" w:type="dxa"/>
              <w:end w:w="80" w:type="dxa"/>
            </w:tcMar>
            <w:vAlign w:val="center"/>
          </w:tcPr>
          <w:p>
            <w:pPr>
              <w:spacing w:after="0"/>
            </w:pPr>
            <w:r>
              <w:rPr>
                <w:sz w:val="16"/>
              </w:rPr>
              <w:t>0.446286</w:t>
            </w:r>
          </w:p>
        </w:tc>
      </w:tr>
      <w:tr>
        <w:tc>
          <w:tcPr>
            <w:tcW w:type="dxa" w:w="3456"/>
            <w:tcMar>
              <w:top w:w="80" w:type="dxa"/>
              <w:start w:w="80" w:type="dxa"/>
              <w:bottom w:w="80" w:type="dxa"/>
              <w:end w:w="80" w:type="dxa"/>
            </w:tcMar>
            <w:vAlign w:val="center"/>
            <w:shd w:fill="F4F7FA"/>
          </w:tcPr>
          <w:p>
            <w:pPr>
              <w:spacing w:after="0"/>
            </w:pPr>
            <w:r>
              <w:rPr>
                <w:sz w:val="16"/>
              </w:rPr>
              <w:t>One-sided 95% UCB at 24 m (%)</w:t>
            </w:r>
          </w:p>
        </w:tc>
        <w:tc>
          <w:tcPr>
            <w:tcW w:type="dxa" w:w="2376"/>
            <w:tcMar>
              <w:top w:w="80" w:type="dxa"/>
              <w:start w:w="80" w:type="dxa"/>
              <w:bottom w:w="80" w:type="dxa"/>
              <w:end w:w="80" w:type="dxa"/>
            </w:tcMar>
            <w:vAlign w:val="center"/>
            <w:shd w:fill="F4F7FA"/>
          </w:tcPr>
          <w:p>
            <w:pPr>
              <w:spacing w:after="0"/>
            </w:pPr>
            <w:r>
              <w:rPr>
                <w:sz w:val="16"/>
              </w:rPr>
              <w:t>0.393532</w:t>
            </w:r>
          </w:p>
        </w:tc>
        <w:tc>
          <w:tcPr>
            <w:tcW w:type="dxa" w:w="2376"/>
            <w:tcMar>
              <w:top w:w="80" w:type="dxa"/>
              <w:start w:w="80" w:type="dxa"/>
              <w:bottom w:w="80" w:type="dxa"/>
              <w:end w:w="80" w:type="dxa"/>
            </w:tcMar>
            <w:vAlign w:val="center"/>
            <w:shd w:fill="F4F7FA"/>
          </w:tcPr>
          <w:p>
            <w:pPr>
              <w:spacing w:after="0"/>
            </w:pPr>
            <w:r>
              <w:rPr>
                <w:sz w:val="16"/>
              </w:rPr>
              <w:t>0.378213</w:t>
            </w:r>
          </w:p>
        </w:tc>
        <w:tc>
          <w:tcPr>
            <w:tcW w:type="dxa" w:w="2376"/>
            <w:tcMar>
              <w:top w:w="80" w:type="dxa"/>
              <w:start w:w="80" w:type="dxa"/>
              <w:bottom w:w="80" w:type="dxa"/>
              <w:end w:w="80" w:type="dxa"/>
            </w:tcMar>
            <w:vAlign w:val="center"/>
            <w:shd w:fill="F4F7FA"/>
          </w:tcPr>
          <w:p>
            <w:pPr>
              <w:spacing w:after="0"/>
            </w:pPr>
            <w:r>
              <w:rPr>
                <w:sz w:val="16"/>
              </w:rPr>
              <w:t>0.454769</w:t>
            </w:r>
          </w:p>
        </w:tc>
      </w:tr>
      <w:tr>
        <w:tc>
          <w:tcPr>
            <w:tcW w:type="dxa" w:w="3456"/>
            <w:tcMar>
              <w:top w:w="80" w:type="dxa"/>
              <w:start w:w="80" w:type="dxa"/>
              <w:bottom w:w="80" w:type="dxa"/>
              <w:end w:w="80" w:type="dxa"/>
            </w:tcMar>
            <w:vAlign w:val="center"/>
          </w:tcPr>
          <w:p>
            <w:pPr>
              <w:spacing w:after="0"/>
            </w:pPr>
            <w:r>
              <w:rPr>
                <w:sz w:val="16"/>
              </w:rPr>
              <w:t>Fitted mean at 36 m (%)</w:t>
            </w:r>
          </w:p>
        </w:tc>
        <w:tc>
          <w:tcPr>
            <w:tcW w:type="dxa" w:w="2376"/>
            <w:tcMar>
              <w:top w:w="80" w:type="dxa"/>
              <w:start w:w="80" w:type="dxa"/>
              <w:bottom w:w="80" w:type="dxa"/>
              <w:end w:w="80" w:type="dxa"/>
            </w:tcMar>
            <w:vAlign w:val="center"/>
          </w:tcPr>
          <w:p>
            <w:pPr>
              <w:spacing w:after="0"/>
            </w:pPr>
            <w:r>
              <w:rPr>
                <w:sz w:val="16"/>
              </w:rPr>
              <w:t>0.533000</w:t>
            </w:r>
          </w:p>
        </w:tc>
        <w:tc>
          <w:tcPr>
            <w:tcW w:type="dxa" w:w="2376"/>
            <w:tcMar>
              <w:top w:w="80" w:type="dxa"/>
              <w:start w:w="80" w:type="dxa"/>
              <w:bottom w:w="80" w:type="dxa"/>
              <w:end w:w="80" w:type="dxa"/>
            </w:tcMar>
            <w:vAlign w:val="center"/>
          </w:tcPr>
          <w:p>
            <w:pPr>
              <w:spacing w:after="0"/>
            </w:pPr>
            <w:r>
              <w:rPr>
                <w:sz w:val="16"/>
              </w:rPr>
              <w:t>0.525000</w:t>
            </w:r>
          </w:p>
        </w:tc>
        <w:tc>
          <w:tcPr>
            <w:tcW w:type="dxa" w:w="2376"/>
            <w:tcMar>
              <w:top w:w="80" w:type="dxa"/>
              <w:start w:w="80" w:type="dxa"/>
              <w:bottom w:w="80" w:type="dxa"/>
              <w:end w:w="80" w:type="dxa"/>
            </w:tcMar>
            <w:vAlign w:val="center"/>
          </w:tcPr>
          <w:p>
            <w:pPr>
              <w:spacing w:after="0"/>
            </w:pPr>
            <w:r>
              <w:rPr>
                <w:sz w:val="16"/>
              </w:rPr>
              <w:t>0.636000</w:t>
            </w:r>
          </w:p>
        </w:tc>
      </w:tr>
      <w:tr>
        <w:tc>
          <w:tcPr>
            <w:tcW w:type="dxa" w:w="3456"/>
            <w:tcMar>
              <w:top w:w="80" w:type="dxa"/>
              <w:start w:w="80" w:type="dxa"/>
              <w:bottom w:w="80" w:type="dxa"/>
              <w:end w:w="80" w:type="dxa"/>
            </w:tcMar>
            <w:vAlign w:val="center"/>
            <w:shd w:fill="F4F7FA"/>
          </w:tcPr>
          <w:p>
            <w:pPr>
              <w:spacing w:after="0"/>
            </w:pPr>
            <w:r>
              <w:rPr>
                <w:sz w:val="16"/>
              </w:rPr>
              <w:t>One-sided 95% UCB at 36 m (%)</w:t>
            </w:r>
          </w:p>
        </w:tc>
        <w:tc>
          <w:tcPr>
            <w:tcW w:type="dxa" w:w="2376"/>
            <w:tcMar>
              <w:top w:w="80" w:type="dxa"/>
              <w:start w:w="80" w:type="dxa"/>
              <w:bottom w:w="80" w:type="dxa"/>
              <w:end w:w="80" w:type="dxa"/>
            </w:tcMar>
            <w:vAlign w:val="center"/>
            <w:shd w:fill="F4F7FA"/>
          </w:tcPr>
          <w:p>
            <w:pPr>
              <w:spacing w:after="0"/>
            </w:pPr>
            <w:r>
              <w:rPr>
                <w:sz w:val="16"/>
              </w:rPr>
              <w:t>0.568403</w:t>
            </w:r>
          </w:p>
        </w:tc>
        <w:tc>
          <w:tcPr>
            <w:tcW w:type="dxa" w:w="2376"/>
            <w:tcMar>
              <w:top w:w="80" w:type="dxa"/>
              <w:start w:w="80" w:type="dxa"/>
              <w:bottom w:w="80" w:type="dxa"/>
              <w:end w:w="80" w:type="dxa"/>
            </w:tcMar>
            <w:vAlign w:val="center"/>
            <w:shd w:fill="F4F7FA"/>
          </w:tcPr>
          <w:p>
            <w:pPr>
              <w:spacing w:after="0"/>
            </w:pPr>
            <w:r>
              <w:rPr>
                <w:sz w:val="16"/>
              </w:rPr>
              <w:t>0.537580</w:t>
            </w:r>
          </w:p>
        </w:tc>
        <w:tc>
          <w:tcPr>
            <w:tcW w:type="dxa" w:w="2376"/>
            <w:tcMar>
              <w:top w:w="80" w:type="dxa"/>
              <w:start w:w="80" w:type="dxa"/>
              <w:bottom w:w="80" w:type="dxa"/>
              <w:end w:w="80" w:type="dxa"/>
            </w:tcMar>
            <w:vAlign w:val="center"/>
            <w:shd w:fill="F4F7FA"/>
          </w:tcPr>
          <w:p>
            <w:pPr>
              <w:spacing w:after="0"/>
            </w:pPr>
            <w:r>
              <w:rPr>
                <w:sz w:val="16"/>
              </w:rPr>
              <w:t>0.650233</w:t>
            </w:r>
          </w:p>
        </w:tc>
      </w:tr>
      <w:tr>
        <w:tc>
          <w:tcPr>
            <w:tcW w:type="dxa" w:w="3456"/>
            <w:tcMar>
              <w:top w:w="80" w:type="dxa"/>
              <w:start w:w="80" w:type="dxa"/>
              <w:bottom w:w="80" w:type="dxa"/>
              <w:end w:w="80" w:type="dxa"/>
            </w:tcMar>
            <w:vAlign w:val="center"/>
          </w:tcPr>
          <w:p>
            <w:pPr>
              <w:spacing w:after="0"/>
            </w:pPr>
            <w:r>
              <w:rPr>
                <w:sz w:val="16"/>
              </w:rPr>
              <w:t>UCB/specification intersection</w:t>
            </w:r>
          </w:p>
        </w:tc>
        <w:tc>
          <w:tcPr>
            <w:tcW w:type="dxa" w:w="2376"/>
            <w:tcMar>
              <w:top w:w="80" w:type="dxa"/>
              <w:start w:w="80" w:type="dxa"/>
              <w:bottom w:w="80" w:type="dxa"/>
              <w:end w:w="80" w:type="dxa"/>
            </w:tcMar>
            <w:vAlign w:val="center"/>
          </w:tcPr>
          <w:p>
            <w:pPr>
              <w:spacing w:after="0"/>
            </w:pPr>
            <w:r>
              <w:rPr>
                <w:sz w:val="16"/>
              </w:rPr>
              <w:t>31.310 m</w:t>
            </w:r>
          </w:p>
        </w:tc>
        <w:tc>
          <w:tcPr>
            <w:tcW w:type="dxa" w:w="2376"/>
            <w:tcMar>
              <w:top w:w="80" w:type="dxa"/>
              <w:start w:w="80" w:type="dxa"/>
              <w:bottom w:w="80" w:type="dxa"/>
              <w:end w:w="80" w:type="dxa"/>
            </w:tcMar>
            <w:vAlign w:val="center"/>
          </w:tcPr>
          <w:p>
            <w:pPr>
              <w:spacing w:after="0"/>
            </w:pPr>
            <w:r>
              <w:rPr>
                <w:sz w:val="16"/>
              </w:rPr>
              <w:t>33.172 m</w:t>
            </w:r>
          </w:p>
        </w:tc>
        <w:tc>
          <w:tcPr>
            <w:tcW w:type="dxa" w:w="2376"/>
            <w:tcMar>
              <w:top w:w="80" w:type="dxa"/>
              <w:start w:w="80" w:type="dxa"/>
              <w:bottom w:w="80" w:type="dxa"/>
              <w:end w:w="80" w:type="dxa"/>
            </w:tcMar>
            <w:vAlign w:val="center"/>
          </w:tcPr>
          <w:p>
            <w:pPr>
              <w:spacing w:after="0"/>
            </w:pPr>
            <w:r>
              <w:rPr>
                <w:sz w:val="16"/>
              </w:rPr>
              <w:t>26.778 m</w:t>
            </w:r>
          </w:p>
        </w:tc>
      </w:tr>
    </w:tbl>
    <w:p>
      <w:pPr>
        <w:widowControl/>
        <w:spacing w:after="0"/>
      </w:pPr>
    </w:p>
    <w:p>
      <w:pPr>
        <w:pStyle w:val="Heading2"/>
        <w:keepNext/>
        <w:widowControl/>
      </w:pPr>
      <w:r>
        <w:t>Interpretive limitations</w:t>
      </w:r>
    </w:p>
    <w:p>
      <w:pPr>
        <w:pStyle w:val="ListBullet"/>
        <w:widowControl/>
      </w:pPr>
      <w:r>
        <w:t>Each lot has only six timepoints through 18 months; projections materially beyond the observed interval are uncertain.</w:t>
      </w:r>
    </w:p>
    <w:p>
      <w:pPr>
        <w:pStyle w:val="ListBullet"/>
        <w:widowControl/>
      </w:pPr>
      <w:r>
        <w:t>The confidence bound is for the fitted mean response, consistent with the stated shelf-life regression approach; it is not an individual future-observation prediction interval.</w:t>
      </w:r>
    </w:p>
    <w:p>
      <w:pPr>
        <w:pStyle w:val="ListBullet"/>
        <w:widowControl/>
      </w:pPr>
      <w:r>
        <w:t>No model pooling was used because the authority requested each registration lot and the 250 mL lot shows a visibly steeper trend.</w:t>
      </w:r>
    </w:p>
    <w:p>
      <w:pPr>
        <w:pStyle w:val="ListBullet"/>
        <w:widowControl/>
      </w:pPr>
      <w:r>
        <w:t>The linear fit is descriptive; the 24- and 36-month values are projections, not measured stability results.</w:t>
      </w:r>
    </w:p>
    <w:p>
      <w:pPr>
        <w:pStyle w:val="ListBullet"/>
        <w:widowControl/>
      </w:pPr>
      <w:r>
        <w:t>The displayed intersection is not itself a recommended labelled shelf life. The proposed 18 months is anchored to the verified long-term period currently observed.</w:t>
      </w:r>
    </w:p>
    <w:p>
      <w:pPr>
        <w:pStyle w:val="Heading1"/>
        <w:keepNext/>
        <w:widowControl/>
      </w:pPr>
      <w:r>
        <w:t>Appendix 2 — Evidence register</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3096"/>
            <w:shd w:fill="1F4E78"/>
            <w:vAlign w:val="center"/>
            <w:tcMar>
              <w:top w:w="80" w:type="dxa"/>
              <w:start w:w="80" w:type="dxa"/>
              <w:bottom w:w="80" w:type="dxa"/>
              <w:end w:w="80" w:type="dxa"/>
            </w:tcMar>
          </w:tcPr>
          <w:p>
            <w:r>
              <w:rPr>
                <w:b/>
                <w:color w:val="FFFFFF"/>
                <w:sz w:val="15"/>
              </w:rPr>
              <w:t>Source</w:t>
            </w:r>
          </w:p>
        </w:tc>
        <w:tc>
          <w:tcPr>
            <w:tcW w:type="dxa" w:w="1944"/>
            <w:shd w:fill="1F4E78"/>
            <w:vAlign w:val="center"/>
            <w:tcMar>
              <w:top w:w="80" w:type="dxa"/>
              <w:start w:w="80" w:type="dxa"/>
              <w:bottom w:w="80" w:type="dxa"/>
              <w:end w:w="80" w:type="dxa"/>
            </w:tcMar>
          </w:tcPr>
          <w:p>
            <w:r>
              <w:rPr>
                <w:b/>
                <w:color w:val="FFFFFF"/>
                <w:sz w:val="15"/>
              </w:rPr>
              <w:t>Status / date</w:t>
            </w:r>
          </w:p>
        </w:tc>
        <w:tc>
          <w:tcPr>
            <w:tcW w:type="dxa" w:w="3744"/>
            <w:shd w:fill="1F4E78"/>
            <w:vAlign w:val="center"/>
            <w:tcMar>
              <w:top w:w="80" w:type="dxa"/>
              <w:start w:w="80" w:type="dxa"/>
              <w:bottom w:w="80" w:type="dxa"/>
              <w:end w:w="80" w:type="dxa"/>
            </w:tcMar>
          </w:tcPr>
          <w:p>
            <w:r>
              <w:rPr>
                <w:b/>
                <w:color w:val="FFFFFF"/>
                <w:sz w:val="15"/>
              </w:rPr>
              <w:t>Use in draft</w:t>
            </w:r>
          </w:p>
        </w:tc>
        <w:tc>
          <w:tcPr>
            <w:tcW w:type="dxa" w:w="2232"/>
            <w:shd w:fill="1F4E78"/>
            <w:vAlign w:val="center"/>
            <w:tcMar>
              <w:top w:w="80" w:type="dxa"/>
              <w:start w:w="80" w:type="dxa"/>
              <w:bottom w:w="80" w:type="dxa"/>
              <w:end w:w="80" w:type="dxa"/>
            </w:tcMar>
          </w:tcPr>
          <w:p>
            <w:r>
              <w:rPr>
                <w:b/>
                <w:color w:val="FFFFFF"/>
                <w:sz w:val="15"/>
              </w:rPr>
              <w:t>Precise location</w:t>
            </w:r>
          </w:p>
        </w:tc>
      </w:tr>
      <w:tr>
        <w:tc>
          <w:tcPr>
            <w:tcW w:type="dxa" w:w="3096"/>
            <w:tcMar>
              <w:top w:w="80" w:type="dxa"/>
              <w:start w:w="80" w:type="dxa"/>
              <w:bottom w:w="80" w:type="dxa"/>
              <w:end w:w="80" w:type="dxa"/>
            </w:tcMar>
            <w:vAlign w:val="center"/>
          </w:tcPr>
          <w:p>
            <w:pPr>
              <w:spacing w:after="0"/>
            </w:pPr>
            <w:r>
              <w:rPr>
                <w:sz w:val="15"/>
              </w:rPr>
              <w:t>HA-AVI401-IR-2027-014</w:t>
            </w:r>
          </w:p>
        </w:tc>
        <w:tc>
          <w:tcPr>
            <w:tcW w:type="dxa" w:w="1944"/>
            <w:tcMar>
              <w:top w:w="80" w:type="dxa"/>
              <w:start w:w="80" w:type="dxa"/>
              <w:bottom w:w="80" w:type="dxa"/>
              <w:end w:w="80" w:type="dxa"/>
            </w:tcMar>
            <w:vAlign w:val="center"/>
          </w:tcPr>
          <w:p>
            <w:pPr>
              <w:spacing w:after="0"/>
            </w:pPr>
            <w:r>
              <w:rPr>
                <w:sz w:val="15"/>
              </w:rPr>
              <w:t>Issued 19 Jan 2027</w:t>
            </w:r>
          </w:p>
        </w:tc>
        <w:tc>
          <w:tcPr>
            <w:tcW w:type="dxa" w:w="3744"/>
            <w:tcMar>
              <w:top w:w="80" w:type="dxa"/>
              <w:start w:w="80" w:type="dxa"/>
              <w:bottom w:w="80" w:type="dxa"/>
              <w:end w:w="80" w:type="dxa"/>
            </w:tcMar>
            <w:vAlign w:val="center"/>
          </w:tcPr>
          <w:p>
            <w:pPr>
              <w:spacing w:after="0"/>
            </w:pPr>
            <w:r>
              <w:rPr>
                <w:sz w:val="15"/>
              </w:rPr>
              <w:t>Authority questions and deadline</w:t>
            </w:r>
          </w:p>
        </w:tc>
        <w:tc>
          <w:tcPr>
            <w:tcW w:type="dxa" w:w="2232"/>
            <w:tcMar>
              <w:top w:w="80" w:type="dxa"/>
              <w:start w:w="80" w:type="dxa"/>
              <w:bottom w:w="80" w:type="dxa"/>
              <w:end w:w="80" w:type="dxa"/>
            </w:tcMar>
            <w:vAlign w:val="center"/>
          </w:tcPr>
          <w:p>
            <w:pPr>
              <w:spacing w:after="0"/>
            </w:pPr>
            <w:r>
              <w:rPr>
                <w:sz w:val="15"/>
              </w:rPr>
              <w:t>pp. 1–2</w:t>
            </w:r>
          </w:p>
        </w:tc>
      </w:tr>
      <w:tr>
        <w:tc>
          <w:tcPr>
            <w:tcW w:type="dxa" w:w="3096"/>
            <w:tcMar>
              <w:top w:w="80" w:type="dxa"/>
              <w:start w:w="80" w:type="dxa"/>
              <w:bottom w:w="80" w:type="dxa"/>
              <w:end w:w="80" w:type="dxa"/>
            </w:tcMar>
            <w:vAlign w:val="center"/>
            <w:shd w:fill="F4F7FA"/>
          </w:tcPr>
          <w:p>
            <w:pPr>
              <w:spacing w:after="0"/>
            </w:pPr>
            <w:r>
              <w:rPr>
                <w:sz w:val="15"/>
              </w:rPr>
              <w:t>AVT-STB-301</w:t>
            </w:r>
          </w:p>
        </w:tc>
        <w:tc>
          <w:tcPr>
            <w:tcW w:type="dxa" w:w="1944"/>
            <w:tcMar>
              <w:top w:w="80" w:type="dxa"/>
              <w:start w:w="80" w:type="dxa"/>
              <w:bottom w:w="80" w:type="dxa"/>
              <w:end w:w="80" w:type="dxa"/>
            </w:tcMar>
            <w:vAlign w:val="center"/>
            <w:shd w:fill="F4F7FA"/>
          </w:tcPr>
          <w:p>
            <w:pPr>
              <w:spacing w:after="0"/>
            </w:pPr>
            <w:r>
              <w:rPr>
                <w:sz w:val="15"/>
              </w:rPr>
              <w:t>Approved; current 18-month report</w:t>
            </w:r>
          </w:p>
        </w:tc>
        <w:tc>
          <w:tcPr>
            <w:tcW w:type="dxa" w:w="3744"/>
            <w:tcMar>
              <w:top w:w="80" w:type="dxa"/>
              <w:start w:w="80" w:type="dxa"/>
              <w:bottom w:w="80" w:type="dxa"/>
              <w:end w:w="80" w:type="dxa"/>
            </w:tcMar>
            <w:vAlign w:val="center"/>
            <w:shd w:fill="F4F7FA"/>
          </w:tcPr>
          <w:p>
            <w:pPr>
              <w:spacing w:after="0"/>
            </w:pPr>
            <w:r>
              <w:rPr>
                <w:sz w:val="15"/>
              </w:rPr>
              <w:t>Long-term results; accelerated/intermediate context</w:t>
            </w:r>
          </w:p>
        </w:tc>
        <w:tc>
          <w:tcPr>
            <w:tcW w:type="dxa" w:w="2232"/>
            <w:tcMar>
              <w:top w:w="80" w:type="dxa"/>
              <w:start w:w="80" w:type="dxa"/>
              <w:bottom w:w="80" w:type="dxa"/>
              <w:end w:w="80" w:type="dxa"/>
            </w:tcMar>
            <w:vAlign w:val="center"/>
            <w:shd w:fill="F4F7FA"/>
          </w:tcPr>
          <w:p>
            <w:pPr>
              <w:spacing w:after="0"/>
            </w:pPr>
            <w:r>
              <w:rPr>
                <w:sz w:val="15"/>
              </w:rPr>
              <w:t>pp. 1–2</w:t>
            </w:r>
          </w:p>
        </w:tc>
      </w:tr>
      <w:tr>
        <w:tc>
          <w:tcPr>
            <w:tcW w:type="dxa" w:w="3096"/>
            <w:tcMar>
              <w:top w:w="80" w:type="dxa"/>
              <w:start w:w="80" w:type="dxa"/>
              <w:bottom w:w="80" w:type="dxa"/>
              <w:end w:w="80" w:type="dxa"/>
            </w:tcMar>
            <w:vAlign w:val="center"/>
          </w:tcPr>
          <w:p>
            <w:pPr>
              <w:spacing w:after="0"/>
            </w:pPr>
            <w:r>
              <w:rPr>
                <w:sz w:val="15"/>
              </w:rPr>
              <w:t>STB-AVI401-002_Long_Term_Results.xlsx</w:t>
            </w:r>
          </w:p>
        </w:tc>
        <w:tc>
          <w:tcPr>
            <w:tcW w:type="dxa" w:w="1944"/>
            <w:tcMar>
              <w:top w:w="80" w:type="dxa"/>
              <w:start w:w="80" w:type="dxa"/>
              <w:bottom w:w="80" w:type="dxa"/>
              <w:end w:w="80" w:type="dxa"/>
            </w:tcMar>
            <w:vAlign w:val="center"/>
          </w:tcPr>
          <w:p>
            <w:pPr>
              <w:spacing w:after="0"/>
            </w:pPr>
            <w:r>
              <w:rPr>
                <w:sz w:val="15"/>
              </w:rPr>
              <w:t>Active study</w:t>
            </w:r>
          </w:p>
        </w:tc>
        <w:tc>
          <w:tcPr>
            <w:tcW w:type="dxa" w:w="3744"/>
            <w:tcMar>
              <w:top w:w="80" w:type="dxa"/>
              <w:start w:w="80" w:type="dxa"/>
              <w:bottom w:w="80" w:type="dxa"/>
              <w:end w:w="80" w:type="dxa"/>
            </w:tcMar>
            <w:vAlign w:val="center"/>
          </w:tcPr>
          <w:p>
            <w:pPr>
              <w:spacing w:after="0"/>
            </w:pPr>
            <w:r>
              <w:rPr>
                <w:sz w:val="15"/>
              </w:rPr>
              <w:t>Lot/presentation mapping; reportable data; schedule</w:t>
            </w:r>
          </w:p>
        </w:tc>
        <w:tc>
          <w:tcPr>
            <w:tcW w:type="dxa" w:w="2232"/>
            <w:tcMar>
              <w:top w:w="80" w:type="dxa"/>
              <w:start w:w="80" w:type="dxa"/>
              <w:bottom w:w="80" w:type="dxa"/>
              <w:end w:w="80" w:type="dxa"/>
            </w:tcMar>
            <w:vAlign w:val="center"/>
          </w:tcPr>
          <w:p>
            <w:pPr>
              <w:spacing w:after="0"/>
            </w:pPr>
            <w:r>
              <w:rPr>
                <w:sz w:val="15"/>
              </w:rPr>
              <w:t>Lots; Results; Pull Schedule</w:t>
            </w:r>
          </w:p>
        </w:tc>
      </w:tr>
      <w:tr>
        <w:tc>
          <w:tcPr>
            <w:tcW w:type="dxa" w:w="3096"/>
            <w:tcMar>
              <w:top w:w="80" w:type="dxa"/>
              <w:start w:w="80" w:type="dxa"/>
              <w:bottom w:w="80" w:type="dxa"/>
              <w:end w:w="80" w:type="dxa"/>
            </w:tcMar>
            <w:vAlign w:val="center"/>
            <w:shd w:fill="F4F7FA"/>
          </w:tcPr>
          <w:p>
            <w:pPr>
              <w:spacing w:after="0"/>
            </w:pPr>
            <w:r>
              <w:rPr>
                <w:sz w:val="15"/>
              </w:rPr>
              <w:t>STB-AVI401-002_Study_Status.xlsx</w:t>
            </w:r>
          </w:p>
        </w:tc>
        <w:tc>
          <w:tcPr>
            <w:tcW w:type="dxa" w:w="1944"/>
            <w:tcMar>
              <w:top w:w="80" w:type="dxa"/>
              <w:start w:w="80" w:type="dxa"/>
              <w:bottom w:w="80" w:type="dxa"/>
              <w:end w:w="80" w:type="dxa"/>
            </w:tcMar>
            <w:vAlign w:val="center"/>
            <w:shd w:fill="F4F7FA"/>
          </w:tcPr>
          <w:p>
            <w:pPr>
              <w:spacing w:after="0"/>
            </w:pPr>
            <w:r>
              <w:rPr>
                <w:sz w:val="15"/>
              </w:rPr>
              <w:t>Active</w:t>
            </w:r>
          </w:p>
        </w:tc>
        <w:tc>
          <w:tcPr>
            <w:tcW w:type="dxa" w:w="3744"/>
            <w:tcMar>
              <w:top w:w="80" w:type="dxa"/>
              <w:start w:w="80" w:type="dxa"/>
              <w:bottom w:w="80" w:type="dxa"/>
              <w:end w:w="80" w:type="dxa"/>
            </w:tcMar>
            <w:vAlign w:val="center"/>
            <w:shd w:fill="F4F7FA"/>
          </w:tcPr>
          <w:p>
            <w:pPr>
              <w:spacing w:after="0"/>
            </w:pPr>
            <w:r>
              <w:rPr>
                <w:sz w:val="15"/>
              </w:rPr>
              <w:t>24-month pull state</w:t>
            </w:r>
          </w:p>
        </w:tc>
        <w:tc>
          <w:tcPr>
            <w:tcW w:type="dxa" w:w="2232"/>
            <w:tcMar>
              <w:top w:w="80" w:type="dxa"/>
              <w:start w:w="80" w:type="dxa"/>
              <w:bottom w:w="80" w:type="dxa"/>
              <w:end w:w="80" w:type="dxa"/>
            </w:tcMar>
            <w:vAlign w:val="center"/>
            <w:shd w:fill="F4F7FA"/>
          </w:tcPr>
          <w:p>
            <w:pPr>
              <w:spacing w:after="0"/>
            </w:pPr>
            <w:r>
              <w:rPr>
                <w:sz w:val="15"/>
              </w:rPr>
              <w:t>Study; Pull Schedule</w:t>
            </w:r>
          </w:p>
        </w:tc>
      </w:tr>
      <w:tr>
        <w:tc>
          <w:tcPr>
            <w:tcW w:type="dxa" w:w="3096"/>
            <w:tcMar>
              <w:top w:w="80" w:type="dxa"/>
              <w:start w:w="80" w:type="dxa"/>
              <w:bottom w:w="80" w:type="dxa"/>
              <w:end w:w="80" w:type="dxa"/>
            </w:tcMar>
            <w:vAlign w:val="center"/>
          </w:tcPr>
          <w:p>
            <w:pPr>
              <w:spacing w:after="0"/>
            </w:pPr>
            <w:r>
              <w:rPr>
                <w:sz w:val="15"/>
              </w:rPr>
              <w:t>AVT-SPEC-018 v03</w:t>
            </w:r>
          </w:p>
        </w:tc>
        <w:tc>
          <w:tcPr>
            <w:tcW w:type="dxa" w:w="1944"/>
            <w:tcMar>
              <w:top w:w="80" w:type="dxa"/>
              <w:start w:w="80" w:type="dxa"/>
              <w:bottom w:w="80" w:type="dxa"/>
              <w:end w:w="80" w:type="dxa"/>
            </w:tcMar>
            <w:vAlign w:val="center"/>
          </w:tcPr>
          <w:p>
            <w:pPr>
              <w:spacing w:after="0"/>
            </w:pPr>
            <w:r>
              <w:rPr>
                <w:sz w:val="15"/>
              </w:rPr>
              <w:t>Effective 20 Jan 2025</w:t>
            </w:r>
          </w:p>
        </w:tc>
        <w:tc>
          <w:tcPr>
            <w:tcW w:type="dxa" w:w="3744"/>
            <w:tcMar>
              <w:top w:w="80" w:type="dxa"/>
              <w:start w:w="80" w:type="dxa"/>
              <w:bottom w:w="80" w:type="dxa"/>
              <w:end w:w="80" w:type="dxa"/>
            </w:tcMar>
            <w:vAlign w:val="center"/>
          </w:tcPr>
          <w:p>
            <w:pPr>
              <w:spacing w:after="0"/>
            </w:pPr>
            <w:r>
              <w:rPr>
                <w:sz w:val="15"/>
              </w:rPr>
              <w:t>Impurity A limit and methods</w:t>
            </w:r>
          </w:p>
        </w:tc>
        <w:tc>
          <w:tcPr>
            <w:tcW w:type="dxa" w:w="2232"/>
            <w:tcMar>
              <w:top w:w="80" w:type="dxa"/>
              <w:start w:w="80" w:type="dxa"/>
              <w:bottom w:w="80" w:type="dxa"/>
              <w:end w:w="80" w:type="dxa"/>
            </w:tcMar>
            <w:vAlign w:val="center"/>
          </w:tcPr>
          <w:p>
            <w:pPr>
              <w:spacing w:after="0"/>
            </w:pPr>
            <w:r>
              <w:rPr>
                <w:sz w:val="15"/>
              </w:rPr>
              <w:t>§2, test IMPA</w:t>
            </w:r>
          </w:p>
        </w:tc>
      </w:tr>
      <w:tr>
        <w:tc>
          <w:tcPr>
            <w:tcW w:type="dxa" w:w="3096"/>
            <w:tcMar>
              <w:top w:w="80" w:type="dxa"/>
              <w:start w:w="80" w:type="dxa"/>
              <w:bottom w:w="80" w:type="dxa"/>
              <w:end w:w="80" w:type="dxa"/>
            </w:tcMar>
            <w:vAlign w:val="center"/>
            <w:shd w:fill="F4F7FA"/>
          </w:tcPr>
          <w:p>
            <w:pPr>
              <w:spacing w:after="0"/>
            </w:pPr>
            <w:r>
              <w:rPr>
                <w:sz w:val="15"/>
              </w:rPr>
              <w:t>AVI-401_Accelerated_and_Intermediate_Results.xlsx</w:t>
            </w:r>
          </w:p>
        </w:tc>
        <w:tc>
          <w:tcPr>
            <w:tcW w:type="dxa" w:w="1944"/>
            <w:tcMar>
              <w:top w:w="80" w:type="dxa"/>
              <w:start w:w="80" w:type="dxa"/>
              <w:bottom w:w="80" w:type="dxa"/>
              <w:end w:w="80" w:type="dxa"/>
            </w:tcMar>
            <w:vAlign w:val="center"/>
            <w:shd w:fill="F4F7FA"/>
          </w:tcPr>
          <w:p>
            <w:pPr>
              <w:spacing w:after="0"/>
            </w:pPr>
            <w:r>
              <w:rPr>
                <w:sz w:val="15"/>
              </w:rPr>
              <w:t>Current data extract</w:t>
            </w:r>
          </w:p>
        </w:tc>
        <w:tc>
          <w:tcPr>
            <w:tcW w:type="dxa" w:w="3744"/>
            <w:tcMar>
              <w:top w:w="80" w:type="dxa"/>
              <w:start w:w="80" w:type="dxa"/>
              <w:bottom w:w="80" w:type="dxa"/>
              <w:end w:w="80" w:type="dxa"/>
            </w:tcMar>
            <w:vAlign w:val="center"/>
            <w:shd w:fill="F4F7FA"/>
          </w:tcPr>
          <w:p>
            <w:pPr>
              <w:spacing w:after="0"/>
            </w:pPr>
            <w:r>
              <w:rPr>
                <w:sz w:val="15"/>
              </w:rPr>
              <w:t>Accelerated/intermediate values; event extract</w:t>
            </w:r>
          </w:p>
        </w:tc>
        <w:tc>
          <w:tcPr>
            <w:tcW w:type="dxa" w:w="2232"/>
            <w:tcMar>
              <w:top w:w="80" w:type="dxa"/>
              <w:start w:w="80" w:type="dxa"/>
              <w:bottom w:w="80" w:type="dxa"/>
              <w:end w:w="80" w:type="dxa"/>
            </w:tcMar>
            <w:vAlign w:val="center"/>
            <w:shd w:fill="F4F7FA"/>
          </w:tcPr>
          <w:p>
            <w:pPr>
              <w:spacing w:after="0"/>
            </w:pPr>
            <w:r>
              <w:rPr>
                <w:sz w:val="15"/>
              </w:rPr>
              <w:t>Results; Laboratory Events</w:t>
            </w:r>
          </w:p>
        </w:tc>
      </w:tr>
      <w:tr>
        <w:tc>
          <w:tcPr>
            <w:tcW w:type="dxa" w:w="3096"/>
            <w:tcMar>
              <w:top w:w="80" w:type="dxa"/>
              <w:start w:w="80" w:type="dxa"/>
              <w:bottom w:w="80" w:type="dxa"/>
              <w:end w:w="80" w:type="dxa"/>
            </w:tcMar>
            <w:vAlign w:val="center"/>
          </w:tcPr>
          <w:p>
            <w:pPr>
              <w:spacing w:after="0"/>
            </w:pPr>
            <w:r>
              <w:rPr>
                <w:sz w:val="15"/>
              </w:rPr>
              <w:t>HFC-QN-2026-074</w:t>
            </w:r>
          </w:p>
        </w:tc>
        <w:tc>
          <w:tcPr>
            <w:tcW w:type="dxa" w:w="1944"/>
            <w:tcMar>
              <w:top w:w="80" w:type="dxa"/>
              <w:start w:w="80" w:type="dxa"/>
              <w:bottom w:w="80" w:type="dxa"/>
              <w:end w:w="80" w:type="dxa"/>
            </w:tcMar>
            <w:vAlign w:val="center"/>
          </w:tcPr>
          <w:p>
            <w:pPr>
              <w:spacing w:after="0"/>
            </w:pPr>
            <w:r>
              <w:rPr>
                <w:sz w:val="15"/>
              </w:rPr>
              <w:t>Supplier notification 4 Nov 2026</w:t>
            </w:r>
          </w:p>
        </w:tc>
        <w:tc>
          <w:tcPr>
            <w:tcW w:type="dxa" w:w="3744"/>
            <w:tcMar>
              <w:top w:w="80" w:type="dxa"/>
              <w:start w:w="80" w:type="dxa"/>
              <w:bottom w:w="80" w:type="dxa"/>
              <w:end w:w="80" w:type="dxa"/>
            </w:tcMar>
            <w:vAlign w:val="center"/>
          </w:tcPr>
          <w:p>
            <w:pPr>
              <w:spacing w:after="0"/>
            </w:pPr>
            <w:r>
              <w:rPr>
                <w:sz w:val="15"/>
              </w:rPr>
              <w:t>BF-51 OTR comparator</w:t>
            </w:r>
          </w:p>
        </w:tc>
        <w:tc>
          <w:tcPr>
            <w:tcW w:type="dxa" w:w="2232"/>
            <w:tcMar>
              <w:top w:w="80" w:type="dxa"/>
              <w:start w:w="80" w:type="dxa"/>
              <w:bottom w:w="80" w:type="dxa"/>
              <w:end w:w="80" w:type="dxa"/>
            </w:tcMar>
            <w:vAlign w:val="center"/>
          </w:tcPr>
          <w:p>
            <w:pPr>
              <w:spacing w:after="0"/>
            </w:pPr>
            <w:r>
              <w:rPr>
                <w:sz w:val="15"/>
              </w:rPr>
              <w:t>p. 1 comparison table</w:t>
            </w:r>
          </w:p>
        </w:tc>
      </w:tr>
      <w:tr>
        <w:tc>
          <w:tcPr>
            <w:tcW w:type="dxa" w:w="3096"/>
            <w:tcMar>
              <w:top w:w="80" w:type="dxa"/>
              <w:start w:w="80" w:type="dxa"/>
              <w:bottom w:w="80" w:type="dxa"/>
              <w:end w:w="80" w:type="dxa"/>
            </w:tcMar>
            <w:vAlign w:val="center"/>
            <w:shd w:fill="F4F7FA"/>
          </w:tcPr>
          <w:p>
            <w:pPr>
              <w:spacing w:after="0"/>
            </w:pPr>
            <w:r>
              <w:rPr>
                <w:sz w:val="15"/>
              </w:rPr>
              <w:t>CC-AVI401-017_Change_Status.xlsx</w:t>
            </w:r>
          </w:p>
        </w:tc>
        <w:tc>
          <w:tcPr>
            <w:tcW w:type="dxa" w:w="1944"/>
            <w:tcMar>
              <w:top w:w="80" w:type="dxa"/>
              <w:start w:w="80" w:type="dxa"/>
              <w:bottom w:w="80" w:type="dxa"/>
              <w:end w:w="80" w:type="dxa"/>
            </w:tcMar>
            <w:vAlign w:val="center"/>
            <w:shd w:fill="F4F7FA"/>
          </w:tcPr>
          <w:p>
            <w:pPr>
              <w:spacing w:after="0"/>
            </w:pPr>
            <w:r>
              <w:rPr>
                <w:sz w:val="15"/>
              </w:rPr>
              <w:t>Technical assessment</w:t>
            </w:r>
          </w:p>
        </w:tc>
        <w:tc>
          <w:tcPr>
            <w:tcW w:type="dxa" w:w="3744"/>
            <w:tcMar>
              <w:top w:w="80" w:type="dxa"/>
              <w:start w:w="80" w:type="dxa"/>
              <w:bottom w:w="80" w:type="dxa"/>
              <w:end w:w="80" w:type="dxa"/>
            </w:tcMar>
            <w:vAlign w:val="center"/>
            <w:shd w:fill="F4F7FA"/>
          </w:tcPr>
          <w:p>
            <w:pPr>
              <w:spacing w:after="0"/>
            </w:pPr>
            <w:r>
              <w:rPr>
                <w:sz w:val="15"/>
              </w:rPr>
              <w:t>HF-55 implementation status</w:t>
            </w:r>
          </w:p>
        </w:tc>
        <w:tc>
          <w:tcPr>
            <w:tcW w:type="dxa" w:w="2232"/>
            <w:tcMar>
              <w:top w:w="80" w:type="dxa"/>
              <w:start w:w="80" w:type="dxa"/>
              <w:bottom w:w="80" w:type="dxa"/>
              <w:end w:w="80" w:type="dxa"/>
            </w:tcMar>
            <w:vAlign w:val="center"/>
            <w:shd w:fill="F4F7FA"/>
          </w:tcPr>
          <w:p>
            <w:pPr>
              <w:spacing w:after="0"/>
            </w:pPr>
            <w:r>
              <w:rPr>
                <w:sz w:val="15"/>
              </w:rPr>
              <w:t>Change; Required Evidence</w:t>
            </w:r>
          </w:p>
        </w:tc>
      </w:tr>
      <w:tr>
        <w:tc>
          <w:tcPr>
            <w:tcW w:type="dxa" w:w="3096"/>
            <w:tcMar>
              <w:top w:w="80" w:type="dxa"/>
              <w:start w:w="80" w:type="dxa"/>
              <w:bottom w:w="80" w:type="dxa"/>
              <w:end w:w="80" w:type="dxa"/>
            </w:tcMar>
            <w:vAlign w:val="center"/>
          </w:tcPr>
          <w:p>
            <w:pPr>
              <w:spacing w:after="0"/>
            </w:pPr>
            <w:r>
              <w:rPr>
                <w:sz w:val="15"/>
              </w:rPr>
              <w:t>AVT-VAL-104 v01</w:t>
            </w:r>
          </w:p>
        </w:tc>
        <w:tc>
          <w:tcPr>
            <w:tcW w:type="dxa" w:w="1944"/>
            <w:tcMar>
              <w:top w:w="80" w:type="dxa"/>
              <w:start w:w="80" w:type="dxa"/>
              <w:bottom w:w="80" w:type="dxa"/>
              <w:end w:w="80" w:type="dxa"/>
            </w:tcMar>
            <w:vAlign w:val="center"/>
          </w:tcPr>
          <w:p>
            <w:pPr>
              <w:spacing w:after="0"/>
            </w:pPr>
            <w:r>
              <w:rPr>
                <w:sz w:val="15"/>
              </w:rPr>
              <w:t>Approved</w:t>
            </w:r>
          </w:p>
        </w:tc>
        <w:tc>
          <w:tcPr>
            <w:tcW w:type="dxa" w:w="3744"/>
            <w:tcMar>
              <w:top w:w="80" w:type="dxa"/>
              <w:start w:w="80" w:type="dxa"/>
              <w:bottom w:w="80" w:type="dxa"/>
              <w:end w:w="80" w:type="dxa"/>
            </w:tcMar>
            <w:vAlign w:val="center"/>
          </w:tcPr>
          <w:p>
            <w:pPr>
              <w:spacing w:after="0"/>
            </w:pPr>
            <w:r>
              <w:rPr>
                <w:sz w:val="15"/>
              </w:rPr>
              <w:t>Chemical-compatibility boundary</w:t>
            </w:r>
          </w:p>
        </w:tc>
        <w:tc>
          <w:tcPr>
            <w:tcW w:type="dxa" w:w="2232"/>
            <w:tcMar>
              <w:top w:w="80" w:type="dxa"/>
              <w:start w:w="80" w:type="dxa"/>
              <w:bottom w:w="80" w:type="dxa"/>
              <w:end w:w="80" w:type="dxa"/>
            </w:tcMar>
            <w:vAlign w:val="center"/>
          </w:tcPr>
          <w:p>
            <w:pPr>
              <w:spacing w:after="0"/>
            </w:pPr>
            <w:r>
              <w:rPr>
                <w:sz w:val="15"/>
              </w:rPr>
              <w:t>pp. 3, 5, 14–15</w:t>
            </w:r>
          </w:p>
        </w:tc>
      </w:tr>
      <w:tr>
        <w:tc>
          <w:tcPr>
            <w:tcW w:type="dxa" w:w="3096"/>
            <w:tcMar>
              <w:top w:w="80" w:type="dxa"/>
              <w:start w:w="80" w:type="dxa"/>
              <w:bottom w:w="80" w:type="dxa"/>
              <w:end w:w="80" w:type="dxa"/>
            </w:tcMar>
            <w:vAlign w:val="center"/>
            <w:shd w:fill="F4F7FA"/>
          </w:tcPr>
          <w:p>
            <w:pPr>
              <w:spacing w:after="0"/>
            </w:pPr>
            <w:r>
              <w:rPr>
                <w:sz w:val="15"/>
              </w:rPr>
              <w:t>AVT-VAL-105 v01 / AVT-VAL-105-P v01</w:t>
            </w:r>
          </w:p>
        </w:tc>
        <w:tc>
          <w:tcPr>
            <w:tcW w:type="dxa" w:w="1944"/>
            <w:tcMar>
              <w:top w:w="80" w:type="dxa"/>
              <w:start w:w="80" w:type="dxa"/>
              <w:bottom w:w="80" w:type="dxa"/>
              <w:end w:w="80" w:type="dxa"/>
            </w:tcMar>
            <w:vAlign w:val="center"/>
            <w:shd w:fill="F4F7FA"/>
          </w:tcPr>
          <w:p>
            <w:pPr>
              <w:spacing w:after="0"/>
            </w:pPr>
            <w:r>
              <w:rPr>
                <w:sz w:val="15"/>
              </w:rPr>
              <w:t>Approved</w:t>
            </w:r>
          </w:p>
        </w:tc>
        <w:tc>
          <w:tcPr>
            <w:tcW w:type="dxa" w:w="3744"/>
            <w:tcMar>
              <w:top w:w="80" w:type="dxa"/>
              <w:start w:w="80" w:type="dxa"/>
              <w:bottom w:w="80" w:type="dxa"/>
              <w:end w:w="80" w:type="dxa"/>
            </w:tcMar>
            <w:vAlign w:val="center"/>
            <w:shd w:fill="F4F7FA"/>
          </w:tcPr>
          <w:p>
            <w:pPr>
              <w:spacing w:after="0"/>
            </w:pPr>
            <w:r>
              <w:rPr>
                <w:sz w:val="15"/>
              </w:rPr>
              <w:t>E&amp;L boundary and test area</w:t>
            </w:r>
          </w:p>
        </w:tc>
        <w:tc>
          <w:tcPr>
            <w:tcW w:type="dxa" w:w="2232"/>
            <w:tcMar>
              <w:top w:w="80" w:type="dxa"/>
              <w:start w:w="80" w:type="dxa"/>
              <w:bottom w:w="80" w:type="dxa"/>
              <w:end w:w="80" w:type="dxa"/>
            </w:tcMar>
            <w:vAlign w:val="center"/>
            <w:shd w:fill="F4F7FA"/>
          </w:tcPr>
          <w:p>
            <w:pPr>
              <w:spacing w:after="0"/>
            </w:pPr>
            <w:r>
              <w:rPr>
                <w:sz w:val="15"/>
              </w:rPr>
              <w:t>Report pp. 3, 5, 8, 10, 30–31; protocol pp. 4, 6</w:t>
            </w:r>
          </w:p>
        </w:tc>
      </w:tr>
      <w:tr>
        <w:tc>
          <w:tcPr>
            <w:tcW w:type="dxa" w:w="3096"/>
            <w:tcMar>
              <w:top w:w="80" w:type="dxa"/>
              <w:start w:w="80" w:type="dxa"/>
              <w:bottom w:w="80" w:type="dxa"/>
              <w:end w:w="80" w:type="dxa"/>
            </w:tcMar>
            <w:vAlign w:val="center"/>
          </w:tcPr>
          <w:p>
            <w:pPr>
              <w:spacing w:after="0"/>
            </w:pPr>
            <w:r>
              <w:rPr>
                <w:sz w:val="15"/>
              </w:rPr>
              <w:t>AVT-MFG-PCS-012</w:t>
            </w:r>
          </w:p>
        </w:tc>
        <w:tc>
          <w:tcPr>
            <w:tcW w:type="dxa" w:w="1944"/>
            <w:tcMar>
              <w:top w:w="80" w:type="dxa"/>
              <w:start w:w="80" w:type="dxa"/>
              <w:bottom w:w="80" w:type="dxa"/>
              <w:end w:w="80" w:type="dxa"/>
            </w:tcMar>
            <w:vAlign w:val="center"/>
          </w:tcPr>
          <w:p>
            <w:pPr>
              <w:spacing w:after="0"/>
            </w:pPr>
            <w:r>
              <w:rPr>
                <w:sz w:val="15"/>
              </w:rPr>
              <w:t>Effective reference</w:t>
            </w:r>
          </w:p>
        </w:tc>
        <w:tc>
          <w:tcPr>
            <w:tcW w:type="dxa" w:w="3744"/>
            <w:tcMar>
              <w:top w:w="80" w:type="dxa"/>
              <w:start w:w="80" w:type="dxa"/>
              <w:bottom w:w="80" w:type="dxa"/>
              <w:end w:w="80" w:type="dxa"/>
            </w:tcMar>
            <w:vAlign w:val="center"/>
          </w:tcPr>
          <w:p>
            <w:pPr>
              <w:spacing w:after="0"/>
            </w:pPr>
            <w:r>
              <w:rPr>
                <w:sz w:val="15"/>
              </w:rPr>
              <w:t>Approved configuration/lifecycle control</w:t>
            </w:r>
          </w:p>
        </w:tc>
        <w:tc>
          <w:tcPr>
            <w:tcW w:type="dxa" w:w="2232"/>
            <w:tcMar>
              <w:top w:w="80" w:type="dxa"/>
              <w:start w:w="80" w:type="dxa"/>
              <w:bottom w:w="80" w:type="dxa"/>
              <w:end w:w="80" w:type="dxa"/>
            </w:tcMar>
            <w:vAlign w:val="center"/>
          </w:tcPr>
          <w:p>
            <w:pPr>
              <w:spacing w:after="0"/>
            </w:pPr>
            <w:r>
              <w:rPr>
                <w:sz w:val="15"/>
              </w:rPr>
              <w:t>pp. 1–2</w:t>
            </w:r>
          </w:p>
        </w:tc>
      </w:tr>
      <w:tr>
        <w:tc>
          <w:tcPr>
            <w:tcW w:type="dxa" w:w="3096"/>
            <w:tcMar>
              <w:top w:w="80" w:type="dxa"/>
              <w:start w:w="80" w:type="dxa"/>
              <w:bottom w:w="80" w:type="dxa"/>
              <w:end w:w="80" w:type="dxa"/>
            </w:tcMar>
            <w:vAlign w:val="center"/>
            <w:shd w:fill="F4F7FA"/>
          </w:tcPr>
          <w:p>
            <w:pPr>
              <w:spacing w:after="0"/>
            </w:pPr>
            <w:r>
              <w:rPr>
                <w:sz w:val="15"/>
              </w:rPr>
              <w:t>AVT-VAL-203 v1.0</w:t>
            </w:r>
          </w:p>
        </w:tc>
        <w:tc>
          <w:tcPr>
            <w:tcW w:type="dxa" w:w="1944"/>
            <w:tcMar>
              <w:top w:w="80" w:type="dxa"/>
              <w:start w:w="80" w:type="dxa"/>
              <w:bottom w:w="80" w:type="dxa"/>
              <w:end w:w="80" w:type="dxa"/>
            </w:tcMar>
            <w:vAlign w:val="center"/>
            <w:shd w:fill="F4F7FA"/>
          </w:tcPr>
          <w:p>
            <w:pPr>
              <w:spacing w:after="0"/>
            </w:pPr>
            <w:r>
              <w:rPr>
                <w:sz w:val="15"/>
              </w:rPr>
              <w:t>Approved 16 Jan 2025</w:t>
            </w:r>
          </w:p>
        </w:tc>
        <w:tc>
          <w:tcPr>
            <w:tcW w:type="dxa" w:w="3744"/>
            <w:tcMar>
              <w:top w:w="80" w:type="dxa"/>
              <w:start w:w="80" w:type="dxa"/>
              <w:bottom w:w="80" w:type="dxa"/>
              <w:end w:w="80" w:type="dxa"/>
            </w:tcMar>
            <w:vAlign w:val="center"/>
            <w:shd w:fill="F4F7FA"/>
          </w:tcPr>
          <w:p>
            <w:pPr>
              <w:spacing w:after="0"/>
            </w:pPr>
            <w:r>
              <w:rPr>
                <w:sz w:val="15"/>
              </w:rPr>
              <w:t>Administration-set report outline and identified gaps</w:t>
            </w:r>
          </w:p>
        </w:tc>
        <w:tc>
          <w:tcPr>
            <w:tcW w:type="dxa" w:w="2232"/>
            <w:tcMar>
              <w:top w:w="80" w:type="dxa"/>
              <w:start w:w="80" w:type="dxa"/>
              <w:bottom w:w="80" w:type="dxa"/>
              <w:end w:w="80" w:type="dxa"/>
            </w:tcMar>
            <w:vAlign w:val="center"/>
            <w:shd w:fill="F4F7FA"/>
          </w:tcPr>
          <w:p>
            <w:pPr>
              <w:spacing w:after="0"/>
            </w:pPr>
            <w:r>
              <w:rPr>
                <w:sz w:val="15"/>
              </w:rPr>
              <w:t>pp. 4–5, 7–9</w:t>
            </w:r>
          </w:p>
        </w:tc>
      </w:tr>
    </w:tbl>
    <w:p>
      <w:pPr>
        <w:widowControl/>
        <w:spacing w:after="0"/>
      </w:pPr>
    </w:p>
    <w:p>
      <w:pPr>
        <w:pStyle w:val="Heading1"/>
        <w:keepNext/>
        <w:widowControl/>
      </w:pPr>
      <w:r>
        <w:t>Appendix 3 — Internal approval checklist</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376"/>
            <w:shd w:fill="1F4E78"/>
            <w:vAlign w:val="center"/>
            <w:tcMar>
              <w:top w:w="80" w:type="dxa"/>
              <w:start w:w="80" w:type="dxa"/>
              <w:bottom w:w="80" w:type="dxa"/>
              <w:end w:w="80" w:type="dxa"/>
            </w:tcMar>
          </w:tcPr>
          <w:p>
            <w:r>
              <w:rPr>
                <w:b/>
                <w:color w:val="FFFFFF"/>
                <w:sz w:val="16"/>
              </w:rPr>
              <w:t>Gate</w:t>
            </w:r>
          </w:p>
        </w:tc>
        <w:tc>
          <w:tcPr>
            <w:tcW w:type="dxa" w:w="2088"/>
            <w:shd w:fill="1F4E78"/>
            <w:vAlign w:val="center"/>
            <w:tcMar>
              <w:top w:w="80" w:type="dxa"/>
              <w:start w:w="80" w:type="dxa"/>
              <w:bottom w:w="80" w:type="dxa"/>
              <w:end w:w="80" w:type="dxa"/>
            </w:tcMar>
          </w:tcPr>
          <w:p>
            <w:r>
              <w:rPr>
                <w:b/>
                <w:color w:val="FFFFFF"/>
                <w:sz w:val="16"/>
              </w:rPr>
              <w:t>Owner</w:t>
            </w:r>
          </w:p>
        </w:tc>
        <w:tc>
          <w:tcPr>
            <w:tcW w:type="dxa" w:w="5976"/>
            <w:shd w:fill="1F4E78"/>
            <w:vAlign w:val="center"/>
            <w:tcMar>
              <w:top w:w="80" w:type="dxa"/>
              <w:start w:w="80" w:type="dxa"/>
              <w:bottom w:w="80" w:type="dxa"/>
              <w:end w:w="80" w:type="dxa"/>
            </w:tcMar>
          </w:tcPr>
          <w:p>
            <w:r>
              <w:rPr>
                <w:b/>
                <w:color w:val="FFFFFF"/>
                <w:sz w:val="16"/>
              </w:rPr>
              <w:t>Required closure</w:t>
            </w:r>
          </w:p>
        </w:tc>
        <w:tc>
          <w:tcPr>
            <w:tcW w:type="dxa" w:w="1656"/>
            <w:shd w:fill="1F4E78"/>
            <w:vAlign w:val="center"/>
            <w:tcMar>
              <w:top w:w="80" w:type="dxa"/>
              <w:start w:w="80" w:type="dxa"/>
              <w:bottom w:w="80" w:type="dxa"/>
              <w:end w:w="80" w:type="dxa"/>
            </w:tcMar>
          </w:tcPr>
          <w:p>
            <w:r>
              <w:rPr>
                <w:b/>
                <w:color w:val="FFFFFF"/>
                <w:sz w:val="16"/>
              </w:rPr>
              <w:t>State at cut-off</w:t>
            </w:r>
          </w:p>
        </w:tc>
      </w:tr>
      <w:tr>
        <w:tc>
          <w:tcPr>
            <w:tcW w:type="dxa" w:w="2376"/>
            <w:tcMar>
              <w:top w:w="80" w:type="dxa"/>
              <w:start w:w="80" w:type="dxa"/>
              <w:bottom w:w="80" w:type="dxa"/>
              <w:end w:w="80" w:type="dxa"/>
            </w:tcMar>
            <w:vAlign w:val="center"/>
          </w:tcPr>
          <w:p>
            <w:pPr>
              <w:spacing w:after="0"/>
            </w:pPr>
            <w:r>
              <w:rPr>
                <w:sz w:val="16"/>
              </w:rPr>
              <w:t>Regulatory content</w:t>
            </w:r>
          </w:p>
        </w:tc>
        <w:tc>
          <w:tcPr>
            <w:tcW w:type="dxa" w:w="2088"/>
            <w:tcMar>
              <w:top w:w="80" w:type="dxa"/>
              <w:start w:w="80" w:type="dxa"/>
              <w:bottom w:w="80" w:type="dxa"/>
              <w:end w:w="80" w:type="dxa"/>
            </w:tcMar>
            <w:vAlign w:val="center"/>
          </w:tcPr>
          <w:p>
            <w:pPr>
              <w:spacing w:after="0"/>
            </w:pPr>
            <w:r>
              <w:rPr>
                <w:sz w:val="16"/>
              </w:rPr>
              <w:t>Regulatory CMC</w:t>
            </w:r>
          </w:p>
        </w:tc>
        <w:tc>
          <w:tcPr>
            <w:tcW w:type="dxa" w:w="5976"/>
            <w:tcMar>
              <w:top w:w="80" w:type="dxa"/>
              <w:start w:w="80" w:type="dxa"/>
              <w:bottom w:w="80" w:type="dxa"/>
              <w:end w:w="80" w:type="dxa"/>
            </w:tcMar>
            <w:vAlign w:val="center"/>
          </w:tcPr>
          <w:p>
            <w:pPr>
              <w:spacing w:after="0"/>
            </w:pPr>
            <w:r>
              <w:rPr>
                <w:sz w:val="16"/>
              </w:rPr>
              <w:t>Accept response positions; resolve brackets</w:t>
            </w:r>
          </w:p>
        </w:tc>
        <w:tc>
          <w:tcPr>
            <w:tcW w:type="dxa" w:w="1656"/>
            <w:tcMar>
              <w:top w:w="80" w:type="dxa"/>
              <w:start w:w="80" w:type="dxa"/>
              <w:bottom w:w="80" w:type="dxa"/>
              <w:end w:w="80" w:type="dxa"/>
            </w:tcMar>
            <w:vAlign w:val="center"/>
          </w:tcPr>
          <w:p>
            <w:pPr>
              <w:spacing w:after="0"/>
            </w:pPr>
            <w:r>
              <w:rPr>
                <w:sz w:val="16"/>
              </w:rPr>
              <w:t>Open</w:t>
            </w:r>
          </w:p>
        </w:tc>
      </w:tr>
      <w:tr>
        <w:tc>
          <w:tcPr>
            <w:tcW w:type="dxa" w:w="2376"/>
            <w:tcMar>
              <w:top w:w="80" w:type="dxa"/>
              <w:start w:w="80" w:type="dxa"/>
              <w:bottom w:w="80" w:type="dxa"/>
              <w:end w:w="80" w:type="dxa"/>
            </w:tcMar>
            <w:vAlign w:val="center"/>
            <w:shd w:fill="F4F7FA"/>
          </w:tcPr>
          <w:p>
            <w:pPr>
              <w:spacing w:after="0"/>
            </w:pPr>
            <w:r>
              <w:rPr>
                <w:sz w:val="16"/>
              </w:rPr>
              <w:t>Statistical calculation</w:t>
            </w:r>
          </w:p>
        </w:tc>
        <w:tc>
          <w:tcPr>
            <w:tcW w:type="dxa" w:w="2088"/>
            <w:tcMar>
              <w:top w:w="80" w:type="dxa"/>
              <w:start w:w="80" w:type="dxa"/>
              <w:bottom w:w="80" w:type="dxa"/>
              <w:end w:w="80" w:type="dxa"/>
            </w:tcMar>
            <w:vAlign w:val="center"/>
            <w:shd w:fill="F4F7FA"/>
          </w:tcPr>
          <w:p>
            <w:pPr>
              <w:spacing w:after="0"/>
            </w:pPr>
            <w:r>
              <w:rPr>
                <w:sz w:val="16"/>
              </w:rPr>
              <w:t>QC Statistics</w:t>
            </w:r>
          </w:p>
        </w:tc>
        <w:tc>
          <w:tcPr>
            <w:tcW w:type="dxa" w:w="5976"/>
            <w:tcMar>
              <w:top w:w="80" w:type="dxa"/>
              <w:start w:w="80" w:type="dxa"/>
              <w:bottom w:w="80" w:type="dxa"/>
              <w:end w:w="80" w:type="dxa"/>
            </w:tcMar>
            <w:vAlign w:val="center"/>
            <w:shd w:fill="F4F7FA"/>
          </w:tcPr>
          <w:p>
            <w:pPr>
              <w:spacing w:after="0"/>
            </w:pPr>
            <w:r>
              <w:rPr>
                <w:sz w:val="16"/>
              </w:rPr>
              <w:t>Independent reproduction and approval</w:t>
            </w:r>
          </w:p>
        </w:tc>
        <w:tc>
          <w:tcPr>
            <w:tcW w:type="dxa" w:w="1656"/>
            <w:tcMar>
              <w:top w:w="80" w:type="dxa"/>
              <w:start w:w="80" w:type="dxa"/>
              <w:bottom w:w="80" w:type="dxa"/>
              <w:end w:w="80" w:type="dxa"/>
            </w:tcMar>
            <w:vAlign w:val="center"/>
            <w:shd w:fill="F4F7FA"/>
          </w:tcPr>
          <w:p>
            <w:pPr>
              <w:spacing w:after="0"/>
            </w:pPr>
            <w:r>
              <w:rPr>
                <w:sz w:val="16"/>
              </w:rPr>
              <w:t>Open</w:t>
            </w:r>
          </w:p>
        </w:tc>
      </w:tr>
      <w:tr>
        <w:tc>
          <w:tcPr>
            <w:tcW w:type="dxa" w:w="2376"/>
            <w:tcMar>
              <w:top w:w="80" w:type="dxa"/>
              <w:start w:w="80" w:type="dxa"/>
              <w:bottom w:w="80" w:type="dxa"/>
              <w:end w:w="80" w:type="dxa"/>
            </w:tcMar>
            <w:vAlign w:val="center"/>
          </w:tcPr>
          <w:p>
            <w:pPr>
              <w:spacing w:after="0"/>
            </w:pPr>
            <w:r>
              <w:rPr>
                <w:sz w:val="16"/>
              </w:rPr>
              <w:t>Shelf-life decision</w:t>
            </w:r>
          </w:p>
        </w:tc>
        <w:tc>
          <w:tcPr>
            <w:tcW w:type="dxa" w:w="2088"/>
            <w:tcMar>
              <w:top w:w="80" w:type="dxa"/>
              <w:start w:w="80" w:type="dxa"/>
              <w:bottom w:w="80" w:type="dxa"/>
              <w:end w:w="80" w:type="dxa"/>
            </w:tcMar>
            <w:vAlign w:val="center"/>
          </w:tcPr>
          <w:p>
            <w:pPr>
              <w:spacing w:after="0"/>
            </w:pPr>
            <w:r>
              <w:rPr>
                <w:sz w:val="16"/>
              </w:rPr>
              <w:t>Quality / Regulatory</w:t>
            </w:r>
          </w:p>
        </w:tc>
        <w:tc>
          <w:tcPr>
            <w:tcW w:type="dxa" w:w="5976"/>
            <w:tcMar>
              <w:top w:w="80" w:type="dxa"/>
              <w:start w:w="80" w:type="dxa"/>
              <w:bottom w:w="80" w:type="dxa"/>
              <w:end w:w="80" w:type="dxa"/>
            </w:tcMar>
            <w:vAlign w:val="center"/>
          </w:tcPr>
          <w:p>
            <w:pPr>
              <w:spacing w:after="0"/>
            </w:pPr>
            <w:r>
              <w:rPr>
                <w:sz w:val="16"/>
              </w:rPr>
              <w:t>Approve 18-month proposal or alternative justified position</w:t>
            </w:r>
          </w:p>
        </w:tc>
        <w:tc>
          <w:tcPr>
            <w:tcW w:type="dxa" w:w="1656"/>
            <w:tcMar>
              <w:top w:w="80" w:type="dxa"/>
              <w:start w:w="80" w:type="dxa"/>
              <w:bottom w:w="80" w:type="dxa"/>
              <w:end w:w="80" w:type="dxa"/>
            </w:tcMar>
            <w:vAlign w:val="center"/>
          </w:tcPr>
          <w:p>
            <w:pPr>
              <w:spacing w:after="0"/>
            </w:pPr>
            <w:r>
              <w:rPr>
                <w:sz w:val="16"/>
              </w:rPr>
              <w:t>Open</w:t>
            </w:r>
          </w:p>
        </w:tc>
      </w:tr>
      <w:tr>
        <w:tc>
          <w:tcPr>
            <w:tcW w:type="dxa" w:w="2376"/>
            <w:tcMar>
              <w:top w:w="80" w:type="dxa"/>
              <w:start w:w="80" w:type="dxa"/>
              <w:bottom w:w="80" w:type="dxa"/>
              <w:end w:w="80" w:type="dxa"/>
            </w:tcMar>
            <w:vAlign w:val="center"/>
            <w:shd w:fill="F4F7FA"/>
          </w:tcPr>
          <w:p>
            <w:pPr>
              <w:spacing w:after="0"/>
            </w:pPr>
            <w:r>
              <w:rPr>
                <w:sz w:val="16"/>
              </w:rPr>
              <w:t>P.7 replacement</w:t>
            </w:r>
          </w:p>
        </w:tc>
        <w:tc>
          <w:tcPr>
            <w:tcW w:type="dxa" w:w="2088"/>
            <w:tcMar>
              <w:top w:w="80" w:type="dxa"/>
              <w:start w:w="80" w:type="dxa"/>
              <w:bottom w:w="80" w:type="dxa"/>
              <w:end w:w="80" w:type="dxa"/>
            </w:tcMar>
            <w:vAlign w:val="center"/>
            <w:shd w:fill="F4F7FA"/>
          </w:tcPr>
          <w:p>
            <w:pPr>
              <w:spacing w:after="0"/>
            </w:pPr>
            <w:r>
              <w:rPr>
                <w:sz w:val="16"/>
              </w:rPr>
              <w:t>Publishing / Regulatory Ops</w:t>
            </w:r>
          </w:p>
        </w:tc>
        <w:tc>
          <w:tcPr>
            <w:tcW w:type="dxa" w:w="5976"/>
            <w:tcMar>
              <w:top w:w="80" w:type="dxa"/>
              <w:start w:w="80" w:type="dxa"/>
              <w:bottom w:w="80" w:type="dxa"/>
              <w:end w:w="80" w:type="dxa"/>
            </w:tcMar>
            <w:vAlign w:val="center"/>
            <w:shd w:fill="F4F7FA"/>
          </w:tcPr>
          <w:p>
            <w:pPr>
              <w:spacing w:after="0"/>
            </w:pPr>
            <w:r>
              <w:rPr>
                <w:sz w:val="16"/>
              </w:rPr>
              <w:t>Validated bookmarks and pagination</w:t>
            </w:r>
          </w:p>
        </w:tc>
        <w:tc>
          <w:tcPr>
            <w:tcW w:type="dxa" w:w="1656"/>
            <w:tcMar>
              <w:top w:w="80" w:type="dxa"/>
              <w:start w:w="80" w:type="dxa"/>
              <w:bottom w:w="80" w:type="dxa"/>
              <w:end w:w="80" w:type="dxa"/>
            </w:tcMar>
            <w:vAlign w:val="center"/>
            <w:shd w:fill="F4F7FA"/>
          </w:tcPr>
          <w:p>
            <w:pPr>
              <w:spacing w:after="0"/>
            </w:pPr>
            <w:r>
              <w:rPr>
                <w:sz w:val="16"/>
              </w:rPr>
              <w:t>Open</w:t>
            </w:r>
          </w:p>
        </w:tc>
      </w:tr>
      <w:tr>
        <w:tc>
          <w:tcPr>
            <w:tcW w:type="dxa" w:w="2376"/>
            <w:tcMar>
              <w:top w:w="80" w:type="dxa"/>
              <w:start w:w="80" w:type="dxa"/>
              <w:bottom w:w="80" w:type="dxa"/>
              <w:end w:w="80" w:type="dxa"/>
            </w:tcMar>
            <w:vAlign w:val="center"/>
          </w:tcPr>
          <w:p>
            <w:pPr>
              <w:spacing w:after="0"/>
            </w:pPr>
            <w:r>
              <w:rPr>
                <w:sz w:val="16"/>
              </w:rPr>
              <w:t>Headspace evidence</w:t>
            </w:r>
          </w:p>
        </w:tc>
        <w:tc>
          <w:tcPr>
            <w:tcW w:type="dxa" w:w="2088"/>
            <w:tcMar>
              <w:top w:w="80" w:type="dxa"/>
              <w:start w:w="80" w:type="dxa"/>
              <w:bottom w:w="80" w:type="dxa"/>
              <w:end w:w="80" w:type="dxa"/>
            </w:tcMar>
            <w:vAlign w:val="center"/>
          </w:tcPr>
          <w:p>
            <w:pPr>
              <w:spacing w:after="0"/>
            </w:pPr>
            <w:r>
              <w:rPr>
                <w:sz w:val="16"/>
              </w:rPr>
              <w:t>MSAT / Manufacturing</w:t>
            </w:r>
          </w:p>
        </w:tc>
        <w:tc>
          <w:tcPr>
            <w:tcW w:type="dxa" w:w="5976"/>
            <w:tcMar>
              <w:top w:w="80" w:type="dxa"/>
              <w:start w:w="80" w:type="dxa"/>
              <w:bottom w:w="80" w:type="dxa"/>
              <w:end w:w="80" w:type="dxa"/>
            </w:tcMar>
            <w:vAlign w:val="center"/>
          </w:tcPr>
          <w:p>
            <w:pPr>
              <w:spacing w:after="0"/>
            </w:pPr>
            <w:r>
              <w:rPr>
                <w:sz w:val="16"/>
              </w:rPr>
              <w:t>Controlled limit/measurement or confirmed absence</w:t>
            </w:r>
          </w:p>
        </w:tc>
        <w:tc>
          <w:tcPr>
            <w:tcW w:type="dxa" w:w="1656"/>
            <w:tcMar>
              <w:top w:w="80" w:type="dxa"/>
              <w:start w:w="80" w:type="dxa"/>
              <w:bottom w:w="80" w:type="dxa"/>
              <w:end w:w="80" w:type="dxa"/>
            </w:tcMar>
            <w:vAlign w:val="center"/>
          </w:tcPr>
          <w:p>
            <w:pPr>
              <w:spacing w:after="0"/>
            </w:pPr>
            <w:r>
              <w:rPr>
                <w:sz w:val="16"/>
              </w:rPr>
              <w:t>Open</w:t>
            </w:r>
          </w:p>
        </w:tc>
      </w:tr>
      <w:tr>
        <w:tc>
          <w:tcPr>
            <w:tcW w:type="dxa" w:w="2376"/>
            <w:tcMar>
              <w:top w:w="80" w:type="dxa"/>
              <w:start w:w="80" w:type="dxa"/>
              <w:bottom w:w="80" w:type="dxa"/>
              <w:end w:w="80" w:type="dxa"/>
            </w:tcMar>
            <w:vAlign w:val="center"/>
            <w:shd w:fill="F4F7FA"/>
          </w:tcPr>
          <w:p>
            <w:pPr>
              <w:spacing w:after="0"/>
            </w:pPr>
            <w:r>
              <w:rPr>
                <w:sz w:val="16"/>
              </w:rPr>
              <w:t>LAB-2025-114 scope</w:t>
            </w:r>
          </w:p>
        </w:tc>
        <w:tc>
          <w:tcPr>
            <w:tcW w:type="dxa" w:w="2088"/>
            <w:tcMar>
              <w:top w:w="80" w:type="dxa"/>
              <w:start w:w="80" w:type="dxa"/>
              <w:bottom w:w="80" w:type="dxa"/>
              <w:end w:w="80" w:type="dxa"/>
            </w:tcMar>
            <w:vAlign w:val="center"/>
            <w:shd w:fill="F4F7FA"/>
          </w:tcPr>
          <w:p>
            <w:pPr>
              <w:spacing w:after="0"/>
            </w:pPr>
            <w:r>
              <w:rPr>
                <w:sz w:val="16"/>
              </w:rPr>
              <w:t>QC</w:t>
            </w:r>
          </w:p>
        </w:tc>
        <w:tc>
          <w:tcPr>
            <w:tcW w:type="dxa" w:w="5976"/>
            <w:tcMar>
              <w:top w:w="80" w:type="dxa"/>
              <w:start w:w="80" w:type="dxa"/>
              <w:bottom w:w="80" w:type="dxa"/>
              <w:end w:w="80" w:type="dxa"/>
            </w:tcMar>
            <w:vAlign w:val="center"/>
            <w:shd w:fill="F4F7FA"/>
          </w:tcPr>
          <w:p>
            <w:pPr>
              <w:spacing w:after="0"/>
            </w:pPr>
            <w:r>
              <w:rPr>
                <w:sz w:val="16"/>
              </w:rPr>
              <w:t>Approved investigation and campaign-impact conclusion</w:t>
            </w:r>
          </w:p>
        </w:tc>
        <w:tc>
          <w:tcPr>
            <w:tcW w:type="dxa" w:w="1656"/>
            <w:tcMar>
              <w:top w:w="80" w:type="dxa"/>
              <w:start w:w="80" w:type="dxa"/>
              <w:bottom w:w="80" w:type="dxa"/>
              <w:end w:w="80" w:type="dxa"/>
            </w:tcMar>
            <w:vAlign w:val="center"/>
            <w:shd w:fill="F4F7FA"/>
          </w:tcPr>
          <w:p>
            <w:pPr>
              <w:spacing w:after="0"/>
            </w:pPr>
            <w:r>
              <w:rPr>
                <w:sz w:val="16"/>
              </w:rPr>
              <w:t>Open</w:t>
            </w:r>
          </w:p>
        </w:tc>
      </w:tr>
      <w:tr>
        <w:tc>
          <w:tcPr>
            <w:tcW w:type="dxa" w:w="2376"/>
            <w:tcMar>
              <w:top w:w="80" w:type="dxa"/>
              <w:start w:w="80" w:type="dxa"/>
              <w:bottom w:w="80" w:type="dxa"/>
              <w:end w:w="80" w:type="dxa"/>
            </w:tcMar>
            <w:vAlign w:val="center"/>
          </w:tcPr>
          <w:p>
            <w:pPr>
              <w:spacing w:after="0"/>
            </w:pPr>
            <w:r>
              <w:rPr>
                <w:sz w:val="16"/>
              </w:rPr>
              <w:t>Filter process coverage</w:t>
            </w:r>
          </w:p>
        </w:tc>
        <w:tc>
          <w:tcPr>
            <w:tcW w:type="dxa" w:w="2088"/>
            <w:tcMar>
              <w:top w:w="80" w:type="dxa"/>
              <w:start w:w="80" w:type="dxa"/>
              <w:bottom w:w="80" w:type="dxa"/>
              <w:end w:w="80" w:type="dxa"/>
            </w:tcMar>
            <w:vAlign w:val="center"/>
          </w:tcPr>
          <w:p>
            <w:pPr>
              <w:spacing w:after="0"/>
            </w:pPr>
            <w:r>
              <w:rPr>
                <w:sz w:val="16"/>
              </w:rPr>
              <w:t>MSAT / Validation</w:t>
            </w:r>
          </w:p>
        </w:tc>
        <w:tc>
          <w:tcPr>
            <w:tcW w:type="dxa" w:w="5976"/>
            <w:tcMar>
              <w:top w:w="80" w:type="dxa"/>
              <w:start w:w="80" w:type="dxa"/>
              <w:bottom w:w="80" w:type="dxa"/>
              <w:end w:w="80" w:type="dxa"/>
            </w:tcMar>
            <w:vAlign w:val="center"/>
          </w:tcPr>
          <w:p>
            <w:pPr>
              <w:spacing w:after="0"/>
            </w:pPr>
            <w:r>
              <w:rPr>
                <w:sz w:val="16"/>
              </w:rPr>
              <w:t>Routine limits and area-to-mass calculation</w:t>
            </w:r>
          </w:p>
        </w:tc>
        <w:tc>
          <w:tcPr>
            <w:tcW w:type="dxa" w:w="1656"/>
            <w:tcMar>
              <w:top w:w="80" w:type="dxa"/>
              <w:start w:w="80" w:type="dxa"/>
              <w:bottom w:w="80" w:type="dxa"/>
              <w:end w:w="80" w:type="dxa"/>
            </w:tcMar>
            <w:vAlign w:val="center"/>
          </w:tcPr>
          <w:p>
            <w:pPr>
              <w:spacing w:after="0"/>
            </w:pPr>
            <w:r>
              <w:rPr>
                <w:sz w:val="16"/>
              </w:rPr>
              <w:t>Open</w:t>
            </w:r>
          </w:p>
        </w:tc>
      </w:tr>
      <w:tr>
        <w:tc>
          <w:tcPr>
            <w:tcW w:type="dxa" w:w="2376"/>
            <w:tcMar>
              <w:top w:w="80" w:type="dxa"/>
              <w:start w:w="80" w:type="dxa"/>
              <w:bottom w:w="80" w:type="dxa"/>
              <w:end w:w="80" w:type="dxa"/>
            </w:tcMar>
            <w:vAlign w:val="center"/>
            <w:shd w:fill="F4F7FA"/>
          </w:tcPr>
          <w:p>
            <w:pPr>
              <w:spacing w:after="0"/>
            </w:pPr>
            <w:r>
              <w:rPr>
                <w:sz w:val="16"/>
              </w:rPr>
              <w:t>Administration-set details</w:t>
            </w:r>
          </w:p>
        </w:tc>
        <w:tc>
          <w:tcPr>
            <w:tcW w:type="dxa" w:w="2088"/>
            <w:tcMar>
              <w:top w:w="80" w:type="dxa"/>
              <w:start w:w="80" w:type="dxa"/>
              <w:bottom w:w="80" w:type="dxa"/>
              <w:end w:w="80" w:type="dxa"/>
            </w:tcMar>
            <w:vAlign w:val="center"/>
            <w:shd w:fill="F4F7FA"/>
          </w:tcPr>
          <w:p>
            <w:pPr>
              <w:spacing w:after="0"/>
            </w:pPr>
            <w:r>
              <w:rPr>
                <w:sz w:val="16"/>
              </w:rPr>
              <w:t>Validation / CMC</w:t>
            </w:r>
          </w:p>
        </w:tc>
        <w:tc>
          <w:tcPr>
            <w:tcW w:type="dxa" w:w="5976"/>
            <w:tcMar>
              <w:top w:w="80" w:type="dxa"/>
              <w:start w:w="80" w:type="dxa"/>
              <w:bottom w:w="80" w:type="dxa"/>
              <w:end w:w="80" w:type="dxa"/>
            </w:tcMar>
            <w:vAlign w:val="center"/>
            <w:shd w:fill="F4F7FA"/>
          </w:tcPr>
          <w:p>
            <w:pPr>
              <w:spacing w:after="0"/>
            </w:pPr>
            <w:r>
              <w:rPr>
                <w:sz w:val="16"/>
              </w:rPr>
              <w:t>Protocol/raw-data facts requested in point 6</w:t>
            </w:r>
          </w:p>
        </w:tc>
        <w:tc>
          <w:tcPr>
            <w:tcW w:type="dxa" w:w="1656"/>
            <w:tcMar>
              <w:top w:w="80" w:type="dxa"/>
              <w:start w:w="80" w:type="dxa"/>
              <w:bottom w:w="80" w:type="dxa"/>
              <w:end w:w="80" w:type="dxa"/>
            </w:tcMar>
            <w:vAlign w:val="center"/>
            <w:shd w:fill="F4F7FA"/>
          </w:tcPr>
          <w:p>
            <w:pPr>
              <w:spacing w:after="0"/>
            </w:pPr>
            <w:r>
              <w:rPr>
                <w:sz w:val="16"/>
              </w:rPr>
              <w:t>Open</w:t>
            </w:r>
          </w:p>
        </w:tc>
      </w:tr>
      <w:tr>
        <w:tc>
          <w:tcPr>
            <w:tcW w:type="dxa" w:w="2376"/>
            <w:tcMar>
              <w:top w:w="80" w:type="dxa"/>
              <w:start w:w="80" w:type="dxa"/>
              <w:bottom w:w="80" w:type="dxa"/>
              <w:end w:w="80" w:type="dxa"/>
            </w:tcMar>
            <w:vAlign w:val="center"/>
          </w:tcPr>
          <w:p>
            <w:pPr>
              <w:spacing w:after="0"/>
            </w:pPr>
            <w:r>
              <w:rPr>
                <w:sz w:val="16"/>
              </w:rPr>
              <w:t>24-month update</w:t>
            </w:r>
          </w:p>
        </w:tc>
        <w:tc>
          <w:tcPr>
            <w:tcW w:type="dxa" w:w="2088"/>
            <w:tcMar>
              <w:top w:w="80" w:type="dxa"/>
              <w:start w:w="80" w:type="dxa"/>
              <w:bottom w:w="80" w:type="dxa"/>
              <w:end w:w="80" w:type="dxa"/>
            </w:tcMar>
            <w:vAlign w:val="center"/>
          </w:tcPr>
          <w:p>
            <w:pPr>
              <w:spacing w:after="0"/>
            </w:pPr>
            <w:r>
              <w:rPr>
                <w:sz w:val="16"/>
              </w:rPr>
              <w:t>QC Stability</w:t>
            </w:r>
          </w:p>
        </w:tc>
        <w:tc>
          <w:tcPr>
            <w:tcW w:type="dxa" w:w="5976"/>
            <w:tcMar>
              <w:top w:w="80" w:type="dxa"/>
              <w:start w:w="80" w:type="dxa"/>
              <w:bottom w:w="80" w:type="dxa"/>
              <w:end w:w="80" w:type="dxa"/>
            </w:tcMar>
            <w:vAlign w:val="center"/>
          </w:tcPr>
          <w:p>
            <w:pPr>
              <w:spacing w:after="0"/>
            </w:pPr>
            <w:r>
              <w:rPr>
                <w:sz w:val="16"/>
              </w:rPr>
              <w:t>Execute, verify, release, then submit under commitment</w:t>
            </w:r>
          </w:p>
        </w:tc>
        <w:tc>
          <w:tcPr>
            <w:tcW w:type="dxa" w:w="1656"/>
            <w:tcMar>
              <w:top w:w="80" w:type="dxa"/>
              <w:start w:w="80" w:type="dxa"/>
              <w:bottom w:w="80" w:type="dxa"/>
              <w:end w:w="80" w:type="dxa"/>
            </w:tcMar>
            <w:vAlign w:val="center"/>
          </w:tcPr>
          <w:p>
            <w:pPr>
              <w:spacing w:after="0"/>
            </w:pPr>
            <w:r>
              <w:rPr>
                <w:sz w:val="16"/>
              </w:rPr>
              <w:t>Scheduled 1 Mar 2027</w:t>
            </w:r>
          </w:p>
        </w:tc>
      </w:tr>
    </w:tbl>
    <w:p>
      <w:pPr>
        <w:widowControl/>
        <w:spacing w:after="0"/>
      </w:pP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xml:space="preserve">INTERNAL WORKING DRAFT  •  HA-AVI401-IR-2027-014  •  </w:t>
    </w:r>
    <w:r>
      <w:fldChar w:fldCharType="begin"/>
    </w:r>
    <w:r>
      <w:instrText xml:space="preserve">PAGE</w:instrText>
    </w:r>
    <w:r>
      <w:fldChar w:fldCharType="end"/>
    </w:r>
    <w: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7365D"/>
        <w:sz w:val="16"/>
      </w:rPr>
      <w:t>HAVENOR THERAPEUTICS LTD.  |  REGULATORY CMC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F4E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draft response to HA-AVI401-IR-2027-014</dc:title>
  <dc:subject>APP-CN-AVI401-001 — AVI-401 quality/Module 3 response</dc:subject>
  <dc:creator>Jonas Wei, Regulatory CMC</dc:creator>
  <cp:keywords>AVI-401; HA-AVI401-IR-2027-014; Regulatory CMC; working draft</cp:keywords>
  <dc:description>Internal working draft prepared from evidence available as of 2027-02-08.</dc:description>
  <cp:lastModifiedBy/>
  <cp:revision>1</cp:revision>
  <dcterms:created xsi:type="dcterms:W3CDTF">2013-12-23T23:15:00Z</dcterms:created>
  <dcterms:modified xsi:type="dcterms:W3CDTF">2013-12-23T23:15:00Z</dcterms:modified>
  <cp:category/>
</cp:coreProperties>
</file>