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1F3A5F"/>
          <w:sz w:val="38"/>
        </w:rPr>
        <w:t>AVI-401 sterile-filter validation package</w:t>
      </w:r>
    </w:p>
    <w:p>
      <w:pPr>
        <w:spacing w:after="160"/>
      </w:pPr>
      <w:r>
        <w:rPr>
          <w:b/>
          <w:i w:val="0"/>
          <w:color w:val="5B6B7B"/>
          <w:sz w:val="26"/>
        </w:rPr>
        <w:t>Defensibility review ahead of the authority working session</w:t>
      </w:r>
    </w:p>
    <w:tbl>
      <w:tblPr>
        <w:tblStyle w:val="TableGrid"/>
        <w:tblW w:type="auto" w:w="0"/>
        <w:jc w:val="center"/>
        <w:tblLook w:firstColumn="1" w:firstRow="1" w:lastColumn="0" w:lastRow="0" w:noHBand="0" w:noVBand="1" w:val="04A0"/>
      </w:tblPr>
      <w:tblGrid>
        <w:gridCol w:w="4929"/>
        <w:gridCol w:w="4929"/>
      </w:tblGrid>
      <w:tr>
        <w:tc>
          <w:tcPr>
            <w:tcW w:type="dxa" w:w="1928"/>
            <w:shd w:val="clear" w:fill="1F3A5F"/>
          </w:tcPr>
          <w:p>
            <w:pPr>
              <w:spacing w:after="40"/>
            </w:pPr>
            <w:r/>
            <w:r>
              <w:rPr>
                <w:b/>
                <w:color w:val="FFFFFF"/>
                <w:sz w:val="18"/>
              </w:rPr>
              <w:t>Field</w:t>
            </w:r>
          </w:p>
        </w:tc>
        <w:tc>
          <w:tcPr>
            <w:tcW w:type="dxa" w:w="7597"/>
            <w:shd w:val="clear" w:fill="1F3A5F"/>
          </w:tcPr>
          <w:p>
            <w:pPr>
              <w:spacing w:after="40"/>
            </w:pPr>
            <w:r/>
            <w:r>
              <w:rPr>
                <w:b/>
                <w:color w:val="FFFFFF"/>
                <w:sz w:val="18"/>
              </w:rPr>
              <w:t>Entry</w:t>
            </w:r>
          </w:p>
        </w:tc>
      </w:tr>
      <w:tr>
        <w:tc>
          <w:tcPr>
            <w:tcW w:type="dxa" w:w="1928"/>
          </w:tcPr>
          <w:p>
            <w:pPr>
              <w:spacing w:after="40"/>
            </w:pPr>
            <w:r/>
            <w:r>
              <w:rPr>
                <w:sz w:val="18"/>
              </w:rPr>
              <w:t>Prepared for</w:t>
            </w:r>
          </w:p>
        </w:tc>
        <w:tc>
          <w:tcPr>
            <w:tcW w:type="dxa" w:w="7597"/>
          </w:tcPr>
          <w:p>
            <w:pPr>
              <w:spacing w:after="40"/>
            </w:pPr>
            <w:r/>
            <w:r>
              <w:rPr>
                <w:sz w:val="18"/>
              </w:rPr>
              <w:t>Jae — pre-session defensibility review, AVI-401 sterile-filter and container validation package</w:t>
            </w:r>
          </w:p>
        </w:tc>
      </w:tr>
      <w:tr>
        <w:tc>
          <w:tcPr>
            <w:tcW w:type="dxa" w:w="1928"/>
          </w:tcPr>
          <w:p>
            <w:pPr>
              <w:spacing w:after="40"/>
            </w:pPr>
            <w:r/>
            <w:r>
              <w:rPr>
                <w:sz w:val="18"/>
              </w:rPr>
              <w:t>Prepared by</w:t>
            </w:r>
          </w:p>
        </w:tc>
        <w:tc>
          <w:tcPr>
            <w:tcW w:type="dxa" w:w="7597"/>
          </w:tcPr>
          <w:p>
            <w:pPr>
              <w:spacing w:after="40"/>
            </w:pPr>
            <w:r/>
            <w:r>
              <w:rPr>
                <w:sz w:val="18"/>
              </w:rPr>
              <w:t>Marcus Fernandes (working file)</w:t>
            </w:r>
          </w:p>
        </w:tc>
      </w:tr>
      <w:tr>
        <w:tc>
          <w:tcPr>
            <w:tcW w:type="dxa" w:w="1928"/>
          </w:tcPr>
          <w:p>
            <w:pPr>
              <w:spacing w:after="40"/>
            </w:pPr>
            <w:r/>
            <w:r>
              <w:rPr>
                <w:sz w:val="18"/>
              </w:rPr>
              <w:t>Date of review</w:t>
            </w:r>
          </w:p>
        </w:tc>
        <w:tc>
          <w:tcPr>
            <w:tcW w:type="dxa" w:w="7597"/>
          </w:tcPr>
          <w:p>
            <w:pPr>
              <w:spacing w:after="40"/>
            </w:pPr>
            <w:r/>
            <w:r>
              <w:rPr>
                <w:sz w:val="18"/>
              </w:rPr>
              <w:t>February 2027</w:t>
            </w:r>
          </w:p>
        </w:tc>
      </w:tr>
      <w:tr>
        <w:tc>
          <w:tcPr>
            <w:tcW w:type="dxa" w:w="1928"/>
          </w:tcPr>
          <w:p>
            <w:pPr>
              <w:spacing w:after="40"/>
            </w:pPr>
            <w:r/>
            <w:r>
              <w:rPr>
                <w:sz w:val="18"/>
              </w:rPr>
              <w:t>Subject package</w:t>
            </w:r>
          </w:p>
        </w:tc>
        <w:tc>
          <w:tcPr>
            <w:tcW w:type="dxa" w:w="7597"/>
          </w:tcPr>
          <w:p>
            <w:pPr>
              <w:spacing w:after="40"/>
            </w:pPr>
            <w:r/>
            <w:r>
              <w:rPr>
                <w:sz w:val="18"/>
              </w:rPr>
              <w:t>AVT-VAL-104, -105, -106, -107 (filter) and AVT-VAL-201, -202, -203 (container system), with protocols and executed copies, as indexed in AVT-MFG-PCS-012</w:t>
            </w:r>
          </w:p>
        </w:tc>
      </w:tr>
      <w:tr>
        <w:tc>
          <w:tcPr>
            <w:tcW w:type="dxa" w:w="1928"/>
          </w:tcPr>
          <w:p>
            <w:pPr>
              <w:spacing w:after="40"/>
            </w:pPr>
            <w:r/>
            <w:r>
              <w:rPr>
                <w:sz w:val="18"/>
              </w:rPr>
              <w:t>Session context</w:t>
            </w:r>
          </w:p>
        </w:tc>
        <w:tc>
          <w:tcPr>
            <w:tcW w:type="dxa" w:w="7597"/>
          </w:tcPr>
          <w:p>
            <w:pPr>
              <w:spacing w:after="40"/>
            </w:pPr>
            <w:r/>
            <w:r>
              <w:rPr>
                <w:sz w:val="18"/>
              </w:rPr>
              <w:t>Authority information request HA-AVI401-IR-2027-014 (written response due 2027-03-20); RIM commitment COM-AVI401-008; pre-inspection request list includes the AVI-401 validation package index</w:t>
            </w:r>
          </w:p>
        </w:tc>
      </w:tr>
      <w:tr>
        <w:tc>
          <w:tcPr>
            <w:tcW w:type="dxa" w:w="1928"/>
          </w:tcPr>
          <w:p>
            <w:pPr>
              <w:spacing w:after="40"/>
            </w:pPr>
            <w:r/>
            <w:r>
              <w:rPr>
                <w:sz w:val="18"/>
              </w:rPr>
              <w:t>Basis of review</w:t>
            </w:r>
          </w:p>
        </w:tc>
        <w:tc>
          <w:tcPr>
            <w:tcW w:type="dxa" w:w="7597"/>
          </w:tcPr>
          <w:p>
            <w:pPr>
              <w:spacing w:after="40"/>
            </w:pPr>
            <w:r/>
            <w:r>
              <w:rPr>
                <w:sz w:val="18"/>
              </w:rPr>
              <w:t>Document-based review of the controlled reports, protocols, executed copies and cross-referenced site records available in the file share. Native LIMS, QMS, DMS, MES and RIM entries were not opened and are the authoritative source for status.</w:t>
            </w:r>
          </w:p>
        </w:tc>
      </w:tr>
      <w:tr>
        <w:tc>
          <w:tcPr>
            <w:tcW w:type="dxa" w:w="1928"/>
          </w:tcPr>
          <w:p>
            <w:pPr>
              <w:spacing w:after="40"/>
            </w:pPr>
            <w:r/>
            <w:r>
              <w:rPr>
                <w:sz w:val="18"/>
              </w:rPr>
              <w:t>Status of this document</w:t>
            </w:r>
          </w:p>
        </w:tc>
        <w:tc>
          <w:tcPr>
            <w:tcW w:type="dxa" w:w="7597"/>
          </w:tcPr>
          <w:p>
            <w:pPr>
              <w:spacing w:after="40"/>
            </w:pPr>
            <w:r/>
            <w:r>
              <w:rPr>
                <w:sz w:val="18"/>
              </w:rPr>
              <w:t>Ungoverned working document. It is a reviewer's opinion for session preparation. It is not a Quality disposition, not a validated-state conclusion and not a regulatory position; any conclusion below must be carried into the governing quality record before it is relied on.</w:t>
            </w:r>
          </w:p>
        </w:tc>
      </w:tr>
    </w:tbl>
    <w:p>
      <w:pPr>
        <w:spacing w:after="40"/>
      </w:pPr>
    </w:p>
    <w:p>
      <w:pPr>
        <w:pStyle w:val="Heading1"/>
      </w:pPr>
      <w:r>
        <w:t>1. Bottom line</w:t>
      </w:r>
    </w:p>
    <w:p>
      <w:r>
        <w:rPr>
          <w:b/>
          <w:i w:val="0"/>
        </w:rPr>
        <w:t xml:space="preserve">The scientific core of the filter package is in reasonable shape; the record-level defensibility is not. </w:t>
      </w:r>
      <w:r>
        <w:rPr>
          <w:b w:val="0"/>
          <w:i w:val="0"/>
        </w:rPr>
        <w:t>Chemical compatibility, wetting/integrity and bacterial retention (AVT-VAL-104, -106, -107) have protocol-before-execution chronology, criteria frozen before evaluation, signed execution close-out and results that reconcile to the executed annexes. Those three studies can be walked through in front of an assessor.</w:t>
      </w:r>
    </w:p>
    <w:p>
      <w:r>
        <w:rPr>
          <w:b w:val="0"/>
          <w:i w:val="0"/>
        </w:rPr>
        <w:t xml:space="preserve">Five items should be settled before the session, because each is verifiable by an assessor from documents that are already outside our control (the filed 3.2.P.8 leaf, the change-control register, the equipment files). </w:t>
      </w:r>
      <w:r>
        <w:rPr>
          <w:b/>
          <w:i w:val="0"/>
        </w:rPr>
        <w:t>Two of them are chronology contradictions, which is the category of finding that converts a technical discussion into a data-integrity discussion.</w:t>
      </w:r>
    </w:p>
    <w:tbl>
      <w:tblPr>
        <w:tblStyle w:val="TableGrid"/>
        <w:tblW w:type="auto" w:w="0"/>
        <w:jc w:val="center"/>
        <w:tblLook w:firstColumn="1" w:firstRow="1" w:lastColumn="0" w:lastRow="0" w:noHBand="0" w:noVBand="1" w:val="04A0"/>
      </w:tblPr>
      <w:tblGrid>
        <w:gridCol w:w="1972"/>
        <w:gridCol w:w="1972"/>
        <w:gridCol w:w="1972"/>
        <w:gridCol w:w="1972"/>
        <w:gridCol w:w="1972"/>
      </w:tblGrid>
      <w:tr>
        <w:tc>
          <w:tcPr>
            <w:tcW w:type="dxa" w:w="1701"/>
            <w:shd w:val="clear" w:fill="1F3A5F"/>
          </w:tcPr>
          <w:p>
            <w:pPr>
              <w:spacing w:after="40"/>
            </w:pPr>
            <w:r/>
            <w:r>
              <w:rPr>
                <w:b/>
                <w:color w:val="FFFFFF"/>
                <w:sz w:val="18"/>
              </w:rPr>
              <w:t>Study</w:t>
            </w:r>
          </w:p>
        </w:tc>
        <w:tc>
          <w:tcPr>
            <w:tcW w:type="dxa" w:w="1304"/>
            <w:shd w:val="clear" w:fill="1F3A5F"/>
          </w:tcPr>
          <w:p>
            <w:pPr>
              <w:spacing w:after="40"/>
            </w:pPr>
            <w:r/>
            <w:r>
              <w:rPr>
                <w:b/>
                <w:color w:val="FFFFFF"/>
                <w:sz w:val="18"/>
              </w:rPr>
              <w:t>Report</w:t>
            </w:r>
          </w:p>
        </w:tc>
        <w:tc>
          <w:tcPr>
            <w:tcW w:type="dxa" w:w="1814"/>
            <w:shd w:val="clear" w:fill="1F3A5F"/>
          </w:tcPr>
          <w:p>
            <w:pPr>
              <w:spacing w:after="40"/>
            </w:pPr>
            <w:r/>
            <w:r>
              <w:rPr>
                <w:b/>
                <w:color w:val="FFFFFF"/>
                <w:sz w:val="18"/>
              </w:rPr>
              <w:t>Technical conclusion</w:t>
            </w:r>
          </w:p>
        </w:tc>
        <w:tc>
          <w:tcPr>
            <w:tcW w:type="dxa" w:w="2665"/>
            <w:shd w:val="clear" w:fill="1F3A5F"/>
          </w:tcPr>
          <w:p>
            <w:pPr>
              <w:spacing w:after="40"/>
            </w:pPr>
            <w:r/>
            <w:r>
              <w:rPr>
                <w:b/>
                <w:color w:val="FFFFFF"/>
                <w:sz w:val="18"/>
              </w:rPr>
              <w:t>Record defensibility as it stands</w:t>
            </w:r>
          </w:p>
        </w:tc>
        <w:tc>
          <w:tcPr>
            <w:tcW w:type="dxa" w:w="2041"/>
            <w:shd w:val="clear" w:fill="1F3A5F"/>
          </w:tcPr>
          <w:p>
            <w:pPr>
              <w:spacing w:after="40"/>
            </w:pPr>
            <w:r/>
            <w:r>
              <w:rPr>
                <w:b/>
                <w:color w:val="FFFFFF"/>
                <w:sz w:val="18"/>
              </w:rPr>
              <w:t>Session posture</w:t>
            </w:r>
          </w:p>
        </w:tc>
      </w:tr>
      <w:tr>
        <w:tc>
          <w:tcPr>
            <w:tcW w:type="dxa" w:w="1701"/>
          </w:tcPr>
          <w:p>
            <w:pPr>
              <w:spacing w:after="40"/>
            </w:pPr>
            <w:r/>
            <w:r>
              <w:rPr>
                <w:sz w:val="18"/>
              </w:rPr>
              <w:t>Chemical compatibility</w:t>
            </w:r>
          </w:p>
        </w:tc>
        <w:tc>
          <w:tcPr>
            <w:tcW w:type="dxa" w:w="1304"/>
          </w:tcPr>
          <w:p>
            <w:pPr>
              <w:spacing w:after="40"/>
            </w:pPr>
            <w:r/>
            <w:r>
              <w:rPr>
                <w:sz w:val="18"/>
              </w:rPr>
              <w:t>AVT-VAL-104 v01</w:t>
            </w:r>
          </w:p>
        </w:tc>
        <w:tc>
          <w:tcPr>
            <w:tcW w:type="dxa" w:w="1814"/>
          </w:tcPr>
          <w:p>
            <w:pPr>
              <w:spacing w:after="40"/>
            </w:pPr>
            <w:r/>
            <w:r>
              <w:rPr>
                <w:sz w:val="18"/>
              </w:rPr>
              <w:t>Supported</w:t>
            </w:r>
          </w:p>
        </w:tc>
        <w:tc>
          <w:tcPr>
            <w:tcW w:type="dxa" w:w="2665"/>
          </w:tcPr>
          <w:p>
            <w:pPr>
              <w:spacing w:after="40"/>
            </w:pPr>
            <w:r/>
            <w:r>
              <w:rPr>
                <w:sz w:val="18"/>
              </w:rPr>
              <w:t>**Amber — challenge-lot identity and CC reference</w:t>
            </w:r>
          </w:p>
        </w:tc>
        <w:tc>
          <w:tcPr>
            <w:tcW w:type="dxa" w:w="2041"/>
          </w:tcPr>
          <w:p>
            <w:pPr>
              <w:spacing w:after="40"/>
            </w:pPr>
            <w:r/>
            <w:r>
              <w:rPr>
                <w:sz w:val="18"/>
              </w:rPr>
              <w:t>Present; be ready on lot identity</w:t>
            </w:r>
          </w:p>
        </w:tc>
      </w:tr>
      <w:tr>
        <w:tc>
          <w:tcPr>
            <w:tcW w:type="dxa" w:w="1701"/>
          </w:tcPr>
          <w:p>
            <w:pPr>
              <w:spacing w:after="40"/>
            </w:pPr>
            <w:r/>
            <w:r>
              <w:rPr>
                <w:sz w:val="18"/>
              </w:rPr>
              <w:t>Extractables / leachables</w:t>
            </w:r>
          </w:p>
        </w:tc>
        <w:tc>
          <w:tcPr>
            <w:tcW w:type="dxa" w:w="1304"/>
          </w:tcPr>
          <w:p>
            <w:pPr>
              <w:spacing w:after="40"/>
            </w:pPr>
            <w:r/>
            <w:r>
              <w:rPr>
                <w:sz w:val="18"/>
              </w:rPr>
              <w:t>AVT-VAL-105 v01</w:t>
            </w:r>
          </w:p>
        </w:tc>
        <w:tc>
          <w:tcPr>
            <w:tcW w:type="dxa" w:w="1814"/>
          </w:tcPr>
          <w:p>
            <w:pPr>
              <w:spacing w:after="40"/>
            </w:pPr>
            <w:r/>
            <w:r>
              <w:rPr>
                <w:sz w:val="18"/>
              </w:rPr>
              <w:t>Supported on the data shown</w:t>
            </w:r>
          </w:p>
        </w:tc>
        <w:tc>
          <w:tcPr>
            <w:tcW w:type="dxa" w:w="2665"/>
          </w:tcPr>
          <w:p>
            <w:pPr>
              <w:spacing w:after="40"/>
            </w:pPr>
            <w:r/>
            <w:r>
              <w:rPr>
                <w:sz w:val="18"/>
              </w:rPr>
              <w:t>**Red — exposure scaling basis not stated</w:t>
            </w:r>
          </w:p>
        </w:tc>
        <w:tc>
          <w:tcPr>
            <w:tcW w:type="dxa" w:w="2041"/>
          </w:tcPr>
          <w:p>
            <w:pPr>
              <w:spacing w:after="40"/>
            </w:pPr>
            <w:r/>
            <w:r>
              <w:rPr>
                <w:sz w:val="18"/>
              </w:rPr>
              <w:t>Present only with a scaling explanation</w:t>
            </w:r>
          </w:p>
        </w:tc>
      </w:tr>
      <w:tr>
        <w:tc>
          <w:tcPr>
            <w:tcW w:type="dxa" w:w="1701"/>
          </w:tcPr>
          <w:p>
            <w:pPr>
              <w:spacing w:after="40"/>
            </w:pPr>
            <w:r/>
            <w:r>
              <w:rPr>
                <w:sz w:val="18"/>
              </w:rPr>
              <w:t>Wetting and integrity</w:t>
            </w:r>
          </w:p>
        </w:tc>
        <w:tc>
          <w:tcPr>
            <w:tcW w:type="dxa" w:w="1304"/>
          </w:tcPr>
          <w:p>
            <w:pPr>
              <w:spacing w:after="40"/>
            </w:pPr>
            <w:r/>
            <w:r>
              <w:rPr>
                <w:sz w:val="18"/>
              </w:rPr>
              <w:t>AVT-VAL-106 v01</w:t>
            </w:r>
          </w:p>
        </w:tc>
        <w:tc>
          <w:tcPr>
            <w:tcW w:type="dxa" w:w="1814"/>
          </w:tcPr>
          <w:p>
            <w:pPr>
              <w:spacing w:after="40"/>
            </w:pPr>
            <w:r/>
            <w:r>
              <w:rPr>
                <w:sz w:val="18"/>
              </w:rPr>
              <w:t>Supported</w:t>
            </w:r>
          </w:p>
        </w:tc>
        <w:tc>
          <w:tcPr>
            <w:tcW w:type="dxa" w:w="2665"/>
          </w:tcPr>
          <w:p>
            <w:pPr>
              <w:spacing w:after="40"/>
            </w:pPr>
            <w:r/>
            <w:r>
              <w:rPr>
                <w:sz w:val="18"/>
              </w:rPr>
              <w:t>**Amber — correlation claim predates AVT-VAL-107 approval</w:t>
            </w:r>
          </w:p>
        </w:tc>
        <w:tc>
          <w:tcPr>
            <w:tcW w:type="dxa" w:w="2041"/>
          </w:tcPr>
          <w:p>
            <w:pPr>
              <w:spacing w:after="40"/>
            </w:pPr>
            <w:r/>
            <w:r>
              <w:rPr>
                <w:sz w:val="18"/>
              </w:rPr>
              <w:t>Present; explain sequencing</w:t>
            </w:r>
          </w:p>
        </w:tc>
      </w:tr>
      <w:tr>
        <w:tc>
          <w:tcPr>
            <w:tcW w:type="dxa" w:w="1701"/>
          </w:tcPr>
          <w:p>
            <w:pPr>
              <w:spacing w:after="40"/>
            </w:pPr>
            <w:r/>
            <w:r>
              <w:rPr>
                <w:sz w:val="18"/>
              </w:rPr>
              <w:t>Bacterial retention</w:t>
            </w:r>
          </w:p>
        </w:tc>
        <w:tc>
          <w:tcPr>
            <w:tcW w:type="dxa" w:w="1304"/>
          </w:tcPr>
          <w:p>
            <w:pPr>
              <w:spacing w:after="40"/>
            </w:pPr>
            <w:r/>
            <w:r>
              <w:rPr>
                <w:sz w:val="18"/>
              </w:rPr>
              <w:t>AVT-VAL-107 v01</w:t>
            </w:r>
          </w:p>
        </w:tc>
        <w:tc>
          <w:tcPr>
            <w:tcW w:type="dxa" w:w="1814"/>
          </w:tcPr>
          <w:p>
            <w:pPr>
              <w:spacing w:after="40"/>
            </w:pPr>
            <w:r/>
            <w:r>
              <w:rPr>
                <w:sz w:val="18"/>
              </w:rPr>
              <w:t>Supported (LRV 9.22–9.28, no filtrate recovery)</w:t>
            </w:r>
          </w:p>
        </w:tc>
        <w:tc>
          <w:tcPr>
            <w:tcW w:type="dxa" w:w="2665"/>
          </w:tcPr>
          <w:p>
            <w:pPr>
              <w:spacing w:after="40"/>
            </w:pPr>
            <w:r/>
            <w:r>
              <w:rPr>
                <w:sz w:val="18"/>
              </w:rPr>
              <w:t>**Amber — incubator INC-03 has no asset record; disc scale only</w:t>
            </w:r>
          </w:p>
        </w:tc>
        <w:tc>
          <w:tcPr>
            <w:tcW w:type="dxa" w:w="2041"/>
          </w:tcPr>
          <w:p>
            <w:pPr>
              <w:spacing w:after="40"/>
            </w:pPr>
            <w:r/>
            <w:r>
              <w:rPr>
                <w:sz w:val="18"/>
              </w:rPr>
              <w:t>Present; expect scale-up challenge</w:t>
            </w:r>
          </w:p>
        </w:tc>
      </w:tr>
      <w:tr>
        <w:tc>
          <w:tcPr>
            <w:tcW w:type="dxa" w:w="1701"/>
          </w:tcPr>
          <w:p>
            <w:pPr>
              <w:spacing w:after="40"/>
            </w:pPr>
            <w:r/>
            <w:r>
              <w:rPr>
                <w:sz w:val="18"/>
              </w:rPr>
              <w:t>Container compatibility</w:t>
            </w:r>
          </w:p>
        </w:tc>
        <w:tc>
          <w:tcPr>
            <w:tcW w:type="dxa" w:w="1304"/>
          </w:tcPr>
          <w:p>
            <w:pPr>
              <w:spacing w:after="40"/>
            </w:pPr>
            <w:r/>
            <w:r>
              <w:rPr>
                <w:sz w:val="18"/>
              </w:rPr>
              <w:t>AVT-VAL-201 v1.0</w:t>
            </w:r>
          </w:p>
        </w:tc>
        <w:tc>
          <w:tcPr>
            <w:tcW w:type="dxa" w:w="1814"/>
          </w:tcPr>
          <w:p>
            <w:pPr>
              <w:spacing w:after="40"/>
            </w:pPr>
            <w:r/>
            <w:r>
              <w:rPr>
                <w:sz w:val="18"/>
              </w:rPr>
              <w:t>Cannot be verified from the report</w:t>
            </w:r>
          </w:p>
        </w:tc>
        <w:tc>
          <w:tcPr>
            <w:tcW w:type="dxa" w:w="2665"/>
          </w:tcPr>
          <w:p>
            <w:pPr>
              <w:spacing w:after="40"/>
            </w:pPr>
            <w:r/>
            <w:r>
              <w:rPr>
                <w:sz w:val="18"/>
              </w:rPr>
              <w:t>**Red — internal chronology and data-provenance defects</w:t>
            </w:r>
          </w:p>
        </w:tc>
        <w:tc>
          <w:tcPr>
            <w:tcW w:type="dxa" w:w="2041"/>
          </w:tcPr>
          <w:p>
            <w:pPr>
              <w:spacing w:after="40"/>
            </w:pPr>
            <w:r/>
            <w:r>
              <w:rPr>
                <w:sz w:val="18"/>
              </w:rPr>
              <w:t>Do not volunteer; prepare a written answer</w:t>
            </w:r>
          </w:p>
        </w:tc>
      </w:tr>
      <w:tr>
        <w:tc>
          <w:tcPr>
            <w:tcW w:type="dxa" w:w="1701"/>
          </w:tcPr>
          <w:p>
            <w:pPr>
              <w:spacing w:after="40"/>
            </w:pPr>
            <w:r/>
            <w:r>
              <w:rPr>
                <w:sz w:val="18"/>
              </w:rPr>
              <w:t>Seal integrity</w:t>
            </w:r>
          </w:p>
        </w:tc>
        <w:tc>
          <w:tcPr>
            <w:tcW w:type="dxa" w:w="1304"/>
          </w:tcPr>
          <w:p>
            <w:pPr>
              <w:spacing w:after="40"/>
            </w:pPr>
            <w:r/>
            <w:r>
              <w:rPr>
                <w:sz w:val="18"/>
              </w:rPr>
              <w:t>AVT-VAL-202 v1.0</w:t>
            </w:r>
          </w:p>
        </w:tc>
        <w:tc>
          <w:tcPr>
            <w:tcW w:type="dxa" w:w="1814"/>
          </w:tcPr>
          <w:p>
            <w:pPr>
              <w:spacing w:after="40"/>
            </w:pPr>
            <w:r/>
            <w:r>
              <w:rPr>
                <w:sz w:val="18"/>
              </w:rPr>
              <w:t>Cannot be verified from the report</w:t>
            </w:r>
          </w:p>
        </w:tc>
        <w:tc>
          <w:tcPr>
            <w:tcW w:type="dxa" w:w="2665"/>
          </w:tcPr>
          <w:p>
            <w:pPr>
              <w:spacing w:after="40"/>
            </w:pPr>
            <w:r/>
            <w:r>
              <w:rPr>
                <w:sz w:val="18"/>
              </w:rPr>
              <w:t>**Red — data set identical to AVT-VAL-201 and -203</w:t>
            </w:r>
          </w:p>
        </w:tc>
        <w:tc>
          <w:tcPr>
            <w:tcW w:type="dxa" w:w="2041"/>
          </w:tcPr>
          <w:p>
            <w:pPr>
              <w:spacing w:after="40"/>
            </w:pPr>
            <w:r/>
            <w:r>
              <w:rPr>
                <w:sz w:val="18"/>
              </w:rPr>
              <w:t>Do not volunteer; prepare a written answer</w:t>
            </w:r>
          </w:p>
        </w:tc>
      </w:tr>
      <w:tr>
        <w:tc>
          <w:tcPr>
            <w:tcW w:type="dxa" w:w="1701"/>
          </w:tcPr>
          <w:p>
            <w:pPr>
              <w:spacing w:after="40"/>
            </w:pPr>
            <w:r/>
            <w:r>
              <w:rPr>
                <w:sz w:val="18"/>
              </w:rPr>
              <w:t>Administration-set compatibility</w:t>
            </w:r>
          </w:p>
        </w:tc>
        <w:tc>
          <w:tcPr>
            <w:tcW w:type="dxa" w:w="1304"/>
          </w:tcPr>
          <w:p>
            <w:pPr>
              <w:spacing w:after="40"/>
            </w:pPr>
            <w:r/>
            <w:r>
              <w:rPr>
                <w:sz w:val="18"/>
              </w:rPr>
              <w:t>AVT-VAL-203 v1.0</w:t>
            </w:r>
          </w:p>
        </w:tc>
        <w:tc>
          <w:tcPr>
            <w:tcW w:type="dxa" w:w="1814"/>
          </w:tcPr>
          <w:p>
            <w:pPr>
              <w:spacing w:after="40"/>
            </w:pPr>
            <w:r/>
            <w:r>
              <w:rPr>
                <w:sz w:val="18"/>
              </w:rPr>
              <w:t>Cannot be verified from the report</w:t>
            </w:r>
          </w:p>
        </w:tc>
        <w:tc>
          <w:tcPr>
            <w:tcW w:type="dxa" w:w="2665"/>
          </w:tcPr>
          <w:p>
            <w:pPr>
              <w:spacing w:after="40"/>
            </w:pPr>
            <w:r/>
            <w:r>
              <w:rPr>
                <w:sz w:val="18"/>
              </w:rPr>
              <w:t>**Red — data set identical to AVT-VAL-201 and -202</w:t>
            </w:r>
          </w:p>
        </w:tc>
        <w:tc>
          <w:tcPr>
            <w:tcW w:type="dxa" w:w="2041"/>
          </w:tcPr>
          <w:p>
            <w:pPr>
              <w:spacing w:after="40"/>
            </w:pPr>
            <w:r/>
            <w:r>
              <w:rPr>
                <w:sz w:val="18"/>
              </w:rPr>
              <w:t>Do not volunteer; prepare a written answer</w:t>
            </w:r>
          </w:p>
        </w:tc>
      </w:tr>
    </w:tbl>
    <w:p>
      <w:pPr>
        <w:spacing w:after="40"/>
      </w:pPr>
    </w:p>
    <w:p>
      <w:r>
        <w:rPr>
          <w:b w:val="0"/>
          <w:i/>
          <w:sz w:val="17"/>
        </w:rPr>
        <w:t>Red = expect a finding if examined as written. Amber = defensible with an explanation that must be prepared and evidenced in advance.</w:t>
      </w:r>
    </w:p>
    <w:p>
      <w:pPr>
        <w:pStyle w:val="Heading1"/>
      </w:pPr>
      <w:r>
        <w:t>2. The package as reviewed</w:t>
      </w:r>
    </w:p>
    <w:p>
      <w:r>
        <w:rPr>
          <w:b w:val="0"/>
          <w:i w:val="0"/>
        </w:rPr>
        <w:t>AVT-MFG-PCS-012 (Filter Train and Container-System Control Summary, EFFECTIVE REFERENCE) is the index an assessor will use. It names the approved configuration as process AVI401-PROC-v04, filter train FT-AVI401-02, container system CCS-AVI401-02, and lists seven approved validation reports. All seven are present. Protocols and executed copies are present for the four filter studies only.</w:t>
      </w:r>
    </w:p>
    <w:tbl>
      <w:tblPr>
        <w:tblStyle w:val="TableGrid"/>
        <w:tblW w:type="auto" w:w="0"/>
        <w:jc w:val="center"/>
        <w:tblLook w:firstColumn="1" w:firstRow="1" w:lastColumn="0" w:lastRow="0" w:noHBand="0" w:noVBand="1" w:val="04A0"/>
      </w:tblPr>
      <w:tblGrid>
        <w:gridCol w:w="1643"/>
        <w:gridCol w:w="1643"/>
        <w:gridCol w:w="1643"/>
        <w:gridCol w:w="1643"/>
        <w:gridCol w:w="1643"/>
        <w:gridCol w:w="1643"/>
      </w:tblGrid>
      <w:tr>
        <w:tc>
          <w:tcPr>
            <w:tcW w:type="dxa" w:w="3175"/>
            <w:shd w:val="clear" w:fill="1F3A5F"/>
          </w:tcPr>
          <w:p>
            <w:pPr>
              <w:spacing w:after="40"/>
            </w:pPr>
            <w:r/>
            <w:r>
              <w:rPr>
                <w:b/>
                <w:color w:val="FFFFFF"/>
                <w:sz w:val="18"/>
              </w:rPr>
              <w:t>Record</w:t>
            </w:r>
          </w:p>
        </w:tc>
        <w:tc>
          <w:tcPr>
            <w:tcW w:type="dxa" w:w="1247"/>
            <w:shd w:val="clear" w:fill="1F3A5F"/>
          </w:tcPr>
          <w:p>
            <w:pPr>
              <w:spacing w:after="40"/>
            </w:pPr>
            <w:r/>
            <w:r>
              <w:rPr>
                <w:b/>
                <w:color w:val="FFFFFF"/>
                <w:sz w:val="18"/>
              </w:rPr>
              <w:t>Version / status</w:t>
            </w:r>
          </w:p>
        </w:tc>
        <w:tc>
          <w:tcPr>
            <w:tcW w:type="dxa" w:w="1247"/>
            <w:shd w:val="clear" w:fill="1F3A5F"/>
          </w:tcPr>
          <w:p>
            <w:pPr>
              <w:spacing w:after="40"/>
            </w:pPr>
            <w:r/>
            <w:r>
              <w:rPr>
                <w:b/>
                <w:color w:val="FFFFFF"/>
                <w:sz w:val="18"/>
              </w:rPr>
              <w:t>Protocol approved</w:t>
            </w:r>
          </w:p>
        </w:tc>
        <w:tc>
          <w:tcPr>
            <w:tcW w:type="dxa" w:w="1474"/>
            <w:shd w:val="clear" w:fill="1F3A5F"/>
          </w:tcPr>
          <w:p>
            <w:pPr>
              <w:spacing w:after="40"/>
            </w:pPr>
            <w:r/>
            <w:r>
              <w:rPr>
                <w:b/>
                <w:color w:val="FFFFFF"/>
                <w:sz w:val="18"/>
              </w:rPr>
              <w:t>Executed</w:t>
            </w:r>
          </w:p>
        </w:tc>
        <w:tc>
          <w:tcPr>
            <w:tcW w:type="dxa" w:w="1191"/>
            <w:shd w:val="clear" w:fill="1F3A5F"/>
          </w:tcPr>
          <w:p>
            <w:pPr>
              <w:spacing w:after="40"/>
            </w:pPr>
            <w:r/>
            <w:r>
              <w:rPr>
                <w:b/>
                <w:color w:val="FFFFFF"/>
                <w:sz w:val="18"/>
              </w:rPr>
              <w:t>Report approved</w:t>
            </w:r>
          </w:p>
        </w:tc>
        <w:tc>
          <w:tcPr>
            <w:tcW w:type="dxa" w:w="1191"/>
            <w:shd w:val="clear" w:fill="1F3A5F"/>
          </w:tcPr>
          <w:p>
            <w:pPr>
              <w:spacing w:after="40"/>
            </w:pPr>
            <w:r/>
            <w:r>
              <w:rPr>
                <w:b/>
                <w:color w:val="FFFFFF"/>
                <w:sz w:val="18"/>
              </w:rPr>
              <w:t>Protocol + executed copy on file</w:t>
            </w:r>
          </w:p>
        </w:tc>
      </w:tr>
      <w:tr>
        <w:tc>
          <w:tcPr>
            <w:tcW w:type="dxa" w:w="3175"/>
          </w:tcPr>
          <w:p>
            <w:pPr>
              <w:spacing w:after="40"/>
            </w:pPr>
            <w:r/>
            <w:r>
              <w:rPr>
                <w:sz w:val="18"/>
              </w:rPr>
              <w:t>AVT-VAL-104 Filter chemical compatibility</w:t>
            </w:r>
          </w:p>
        </w:tc>
        <w:tc>
          <w:tcPr>
            <w:tcW w:type="dxa" w:w="1247"/>
          </w:tcPr>
          <w:p>
            <w:pPr>
              <w:spacing w:after="40"/>
            </w:pPr>
            <w:r/>
            <w:r>
              <w:rPr>
                <w:sz w:val="18"/>
              </w:rPr>
              <w:t>v01 APPROVED</w:t>
            </w:r>
          </w:p>
        </w:tc>
        <w:tc>
          <w:tcPr>
            <w:tcW w:type="dxa" w:w="1247"/>
          </w:tcPr>
          <w:p>
            <w:pPr>
              <w:spacing w:after="40"/>
            </w:pPr>
            <w:r/>
            <w:r>
              <w:rPr>
                <w:sz w:val="18"/>
              </w:rPr>
              <w:t>2024-10-18</w:t>
            </w:r>
          </w:p>
        </w:tc>
        <w:tc>
          <w:tcPr>
            <w:tcW w:type="dxa" w:w="1474"/>
          </w:tcPr>
          <w:p>
            <w:pPr>
              <w:spacing w:after="40"/>
            </w:pPr>
            <w:r/>
            <w:r>
              <w:rPr>
                <w:sz w:val="18"/>
              </w:rPr>
              <w:t>2024-11-04 to 11-08</w:t>
            </w:r>
          </w:p>
        </w:tc>
        <w:tc>
          <w:tcPr>
            <w:tcW w:type="dxa" w:w="1191"/>
          </w:tcPr>
          <w:p>
            <w:pPr>
              <w:spacing w:after="40"/>
            </w:pPr>
            <w:r/>
            <w:r>
              <w:rPr>
                <w:sz w:val="18"/>
              </w:rPr>
              <w:t>2024-12-06</w:t>
            </w:r>
          </w:p>
        </w:tc>
        <w:tc>
          <w:tcPr>
            <w:tcW w:type="dxa" w:w="1191"/>
          </w:tcPr>
          <w:p>
            <w:pPr>
              <w:spacing w:after="40"/>
            </w:pPr>
            <w:r/>
            <w:r>
              <w:rPr>
                <w:sz w:val="18"/>
              </w:rPr>
              <w:t>Yes (issued copy 003)</w:t>
            </w:r>
          </w:p>
        </w:tc>
      </w:tr>
      <w:tr>
        <w:tc>
          <w:tcPr>
            <w:tcW w:type="dxa" w:w="3175"/>
          </w:tcPr>
          <w:p>
            <w:pPr>
              <w:spacing w:after="40"/>
            </w:pPr>
            <w:r/>
            <w:r>
              <w:rPr>
                <w:sz w:val="18"/>
              </w:rPr>
              <w:t>AVT-VAL-105 Extractables and leachables</w:t>
            </w:r>
          </w:p>
        </w:tc>
        <w:tc>
          <w:tcPr>
            <w:tcW w:type="dxa" w:w="1247"/>
          </w:tcPr>
          <w:p>
            <w:pPr>
              <w:spacing w:after="40"/>
            </w:pPr>
            <w:r/>
            <w:r>
              <w:rPr>
                <w:sz w:val="18"/>
              </w:rPr>
              <w:t>v01 APPROVED</w:t>
            </w:r>
          </w:p>
        </w:tc>
        <w:tc>
          <w:tcPr>
            <w:tcW w:type="dxa" w:w="1247"/>
          </w:tcPr>
          <w:p>
            <w:pPr>
              <w:spacing w:after="40"/>
            </w:pPr>
            <w:r/>
            <w:r>
              <w:rPr>
                <w:sz w:val="18"/>
              </w:rPr>
              <w:t>2024-09-27</w:t>
            </w:r>
          </w:p>
        </w:tc>
        <w:tc>
          <w:tcPr>
            <w:tcW w:type="dxa" w:w="1474"/>
          </w:tcPr>
          <w:p>
            <w:pPr>
              <w:spacing w:after="40"/>
            </w:pPr>
            <w:r/>
            <w:r>
              <w:rPr>
                <w:sz w:val="18"/>
              </w:rPr>
              <w:t>2024-10-14 to 11-22</w:t>
            </w:r>
          </w:p>
        </w:tc>
        <w:tc>
          <w:tcPr>
            <w:tcW w:type="dxa" w:w="1191"/>
          </w:tcPr>
          <w:p>
            <w:pPr>
              <w:spacing w:after="40"/>
            </w:pPr>
            <w:r/>
            <w:r>
              <w:rPr>
                <w:sz w:val="18"/>
              </w:rPr>
              <w:t>2025-01-10</w:t>
            </w:r>
          </w:p>
        </w:tc>
        <w:tc>
          <w:tcPr>
            <w:tcW w:type="dxa" w:w="1191"/>
          </w:tcPr>
          <w:p>
            <w:pPr>
              <w:spacing w:after="40"/>
            </w:pPr>
            <w:r/>
            <w:r>
              <w:rPr>
                <w:sz w:val="18"/>
              </w:rPr>
              <w:t>Yes (issued copy 003)</w:t>
            </w:r>
          </w:p>
        </w:tc>
      </w:tr>
      <w:tr>
        <w:tc>
          <w:tcPr>
            <w:tcW w:type="dxa" w:w="3175"/>
          </w:tcPr>
          <w:p>
            <w:pPr>
              <w:spacing w:after="40"/>
            </w:pPr>
            <w:r/>
            <w:r>
              <w:rPr>
                <w:sz w:val="18"/>
              </w:rPr>
              <w:t>AVT-VAL-106 Filter wetting and integrity</w:t>
            </w:r>
          </w:p>
        </w:tc>
        <w:tc>
          <w:tcPr>
            <w:tcW w:type="dxa" w:w="1247"/>
          </w:tcPr>
          <w:p>
            <w:pPr>
              <w:spacing w:after="40"/>
            </w:pPr>
            <w:r/>
            <w:r>
              <w:rPr>
                <w:sz w:val="18"/>
              </w:rPr>
              <w:t>v01 APPROVED</w:t>
            </w:r>
          </w:p>
        </w:tc>
        <w:tc>
          <w:tcPr>
            <w:tcW w:type="dxa" w:w="1247"/>
          </w:tcPr>
          <w:p>
            <w:pPr>
              <w:spacing w:after="40"/>
            </w:pPr>
            <w:r/>
            <w:r>
              <w:rPr>
                <w:sz w:val="18"/>
              </w:rPr>
              <w:t>2024-10-11</w:t>
            </w:r>
          </w:p>
        </w:tc>
        <w:tc>
          <w:tcPr>
            <w:tcW w:type="dxa" w:w="1474"/>
          </w:tcPr>
          <w:p>
            <w:pPr>
              <w:spacing w:after="40"/>
            </w:pPr>
            <w:r/>
            <w:r>
              <w:rPr>
                <w:sz w:val="18"/>
              </w:rPr>
              <w:t>2024-10-28 to 11-01</w:t>
            </w:r>
          </w:p>
        </w:tc>
        <w:tc>
          <w:tcPr>
            <w:tcW w:type="dxa" w:w="1191"/>
          </w:tcPr>
          <w:p>
            <w:pPr>
              <w:spacing w:after="40"/>
            </w:pPr>
            <w:r/>
            <w:r>
              <w:rPr>
                <w:sz w:val="18"/>
              </w:rPr>
              <w:t>2024-11-29</w:t>
            </w:r>
          </w:p>
        </w:tc>
        <w:tc>
          <w:tcPr>
            <w:tcW w:type="dxa" w:w="1191"/>
          </w:tcPr>
          <w:p>
            <w:pPr>
              <w:spacing w:after="40"/>
            </w:pPr>
            <w:r/>
            <w:r>
              <w:rPr>
                <w:sz w:val="18"/>
              </w:rPr>
              <w:t>Yes (issued copy 003)</w:t>
            </w:r>
          </w:p>
        </w:tc>
      </w:tr>
      <w:tr>
        <w:tc>
          <w:tcPr>
            <w:tcW w:type="dxa" w:w="3175"/>
          </w:tcPr>
          <w:p>
            <w:pPr>
              <w:spacing w:after="40"/>
            </w:pPr>
            <w:r/>
            <w:r>
              <w:rPr>
                <w:sz w:val="18"/>
              </w:rPr>
              <w:t>AVT-VAL-107 Sterilising-filter bacterial retention</w:t>
            </w:r>
          </w:p>
        </w:tc>
        <w:tc>
          <w:tcPr>
            <w:tcW w:type="dxa" w:w="1247"/>
          </w:tcPr>
          <w:p>
            <w:pPr>
              <w:spacing w:after="40"/>
            </w:pPr>
            <w:r/>
            <w:r>
              <w:rPr>
                <w:sz w:val="18"/>
              </w:rPr>
              <w:t>v01 APPROVED</w:t>
            </w:r>
          </w:p>
        </w:tc>
        <w:tc>
          <w:tcPr>
            <w:tcW w:type="dxa" w:w="1247"/>
          </w:tcPr>
          <w:p>
            <w:pPr>
              <w:spacing w:after="40"/>
            </w:pPr>
            <w:r/>
            <w:r>
              <w:rPr>
                <w:sz w:val="18"/>
              </w:rPr>
              <w:t>2024-10-25</w:t>
            </w:r>
          </w:p>
        </w:tc>
        <w:tc>
          <w:tcPr>
            <w:tcW w:type="dxa" w:w="1474"/>
          </w:tcPr>
          <w:p>
            <w:pPr>
              <w:spacing w:after="40"/>
            </w:pPr>
            <w:r/>
            <w:r>
              <w:rPr>
                <w:sz w:val="18"/>
              </w:rPr>
              <w:t>2024-11-11 to 11-15</w:t>
            </w:r>
          </w:p>
        </w:tc>
        <w:tc>
          <w:tcPr>
            <w:tcW w:type="dxa" w:w="1191"/>
          </w:tcPr>
          <w:p>
            <w:pPr>
              <w:spacing w:after="40"/>
            </w:pPr>
            <w:r/>
            <w:r>
              <w:rPr>
                <w:sz w:val="18"/>
              </w:rPr>
              <w:t>2024-12-13</w:t>
            </w:r>
          </w:p>
        </w:tc>
        <w:tc>
          <w:tcPr>
            <w:tcW w:type="dxa" w:w="1191"/>
          </w:tcPr>
          <w:p>
            <w:pPr>
              <w:spacing w:after="40"/>
            </w:pPr>
            <w:r/>
            <w:r>
              <w:rPr>
                <w:sz w:val="18"/>
              </w:rPr>
              <w:t>Yes (issued copy 003)</w:t>
            </w:r>
          </w:p>
        </w:tc>
      </w:tr>
      <w:tr>
        <w:tc>
          <w:tcPr>
            <w:tcW w:type="dxa" w:w="3175"/>
          </w:tcPr>
          <w:p>
            <w:pPr>
              <w:spacing w:after="40"/>
            </w:pPr>
            <w:r/>
            <w:r>
              <w:rPr>
                <w:sz w:val="18"/>
              </w:rPr>
              <w:t>AVT-VAL-201 Flexible container compatibility</w:t>
            </w:r>
          </w:p>
        </w:tc>
        <w:tc>
          <w:tcPr>
            <w:tcW w:type="dxa" w:w="1247"/>
          </w:tcPr>
          <w:p>
            <w:pPr>
              <w:spacing w:after="40"/>
            </w:pPr>
            <w:r/>
            <w:r>
              <w:rPr>
                <w:sz w:val="18"/>
              </w:rPr>
              <w:t>v1.0 APPROVED</w:t>
            </w:r>
          </w:p>
        </w:tc>
        <w:tc>
          <w:tcPr>
            <w:tcW w:type="dxa" w:w="1247"/>
          </w:tcPr>
          <w:p>
            <w:pPr>
              <w:spacing w:after="40"/>
            </w:pPr>
            <w:r/>
            <w:r>
              <w:rPr>
                <w:sz w:val="18"/>
              </w:rPr>
              <w:t>Not stated in report</w:t>
            </w:r>
          </w:p>
        </w:tc>
        <w:tc>
          <w:tcPr>
            <w:tcW w:type="dxa" w:w="1474"/>
          </w:tcPr>
          <w:p>
            <w:pPr>
              <w:spacing w:after="40"/>
            </w:pPr>
            <w:r/>
            <w:r>
              <w:rPr>
                <w:sz w:val="18"/>
              </w:rPr>
              <w:t>Not stated in report</w:t>
            </w:r>
          </w:p>
        </w:tc>
        <w:tc>
          <w:tcPr>
            <w:tcW w:type="dxa" w:w="1191"/>
          </w:tcPr>
          <w:p>
            <w:pPr>
              <w:spacing w:after="40"/>
            </w:pPr>
            <w:r/>
            <w:r>
              <w:rPr>
                <w:sz w:val="18"/>
              </w:rPr>
              <w:t>2025-01-16</w:t>
            </w:r>
          </w:p>
        </w:tc>
        <w:tc>
          <w:tcPr>
            <w:tcW w:type="dxa" w:w="1191"/>
          </w:tcPr>
          <w:p>
            <w:pPr>
              <w:spacing w:after="40"/>
            </w:pPr>
            <w:r/>
            <w:r>
              <w:rPr>
                <w:sz w:val="18"/>
              </w:rPr>
              <w:t>No</w:t>
            </w:r>
          </w:p>
        </w:tc>
      </w:tr>
      <w:tr>
        <w:tc>
          <w:tcPr>
            <w:tcW w:type="dxa" w:w="3175"/>
          </w:tcPr>
          <w:p>
            <w:pPr>
              <w:spacing w:after="40"/>
            </w:pPr>
            <w:r/>
            <w:r>
              <w:rPr>
                <w:sz w:val="18"/>
              </w:rPr>
              <w:t>AVT-VAL-202 Container closure seal integrity</w:t>
            </w:r>
          </w:p>
        </w:tc>
        <w:tc>
          <w:tcPr>
            <w:tcW w:type="dxa" w:w="1247"/>
          </w:tcPr>
          <w:p>
            <w:pPr>
              <w:spacing w:after="40"/>
            </w:pPr>
            <w:r/>
            <w:r>
              <w:rPr>
                <w:sz w:val="18"/>
              </w:rPr>
              <w:t>v1.0 APPROVED</w:t>
            </w:r>
          </w:p>
        </w:tc>
        <w:tc>
          <w:tcPr>
            <w:tcW w:type="dxa" w:w="1247"/>
          </w:tcPr>
          <w:p>
            <w:pPr>
              <w:spacing w:after="40"/>
            </w:pPr>
            <w:r/>
            <w:r>
              <w:rPr>
                <w:sz w:val="18"/>
              </w:rPr>
              <w:t>Not stated in report</w:t>
            </w:r>
          </w:p>
        </w:tc>
        <w:tc>
          <w:tcPr>
            <w:tcW w:type="dxa" w:w="1474"/>
          </w:tcPr>
          <w:p>
            <w:pPr>
              <w:spacing w:after="40"/>
            </w:pPr>
            <w:r/>
            <w:r>
              <w:rPr>
                <w:sz w:val="18"/>
              </w:rPr>
              <w:t>Not stated in report</w:t>
            </w:r>
          </w:p>
        </w:tc>
        <w:tc>
          <w:tcPr>
            <w:tcW w:type="dxa" w:w="1191"/>
          </w:tcPr>
          <w:p>
            <w:pPr>
              <w:spacing w:after="40"/>
            </w:pPr>
            <w:r/>
            <w:r>
              <w:rPr>
                <w:sz w:val="18"/>
              </w:rPr>
              <w:t>2025-01-16</w:t>
            </w:r>
          </w:p>
        </w:tc>
        <w:tc>
          <w:tcPr>
            <w:tcW w:type="dxa" w:w="1191"/>
          </w:tcPr>
          <w:p>
            <w:pPr>
              <w:spacing w:after="40"/>
            </w:pPr>
            <w:r/>
            <w:r>
              <w:rPr>
                <w:sz w:val="18"/>
              </w:rPr>
              <w:t>No</w:t>
            </w:r>
          </w:p>
        </w:tc>
      </w:tr>
      <w:tr>
        <w:tc>
          <w:tcPr>
            <w:tcW w:type="dxa" w:w="3175"/>
          </w:tcPr>
          <w:p>
            <w:pPr>
              <w:spacing w:after="40"/>
            </w:pPr>
            <w:r/>
            <w:r>
              <w:rPr>
                <w:sz w:val="18"/>
              </w:rPr>
              <w:t>AVT-VAL-203 Administration-set compatibility</w:t>
            </w:r>
          </w:p>
        </w:tc>
        <w:tc>
          <w:tcPr>
            <w:tcW w:type="dxa" w:w="1247"/>
          </w:tcPr>
          <w:p>
            <w:pPr>
              <w:spacing w:after="40"/>
            </w:pPr>
            <w:r/>
            <w:r>
              <w:rPr>
                <w:sz w:val="18"/>
              </w:rPr>
              <w:t>v1.0 APPROVED</w:t>
            </w:r>
          </w:p>
        </w:tc>
        <w:tc>
          <w:tcPr>
            <w:tcW w:type="dxa" w:w="1247"/>
          </w:tcPr>
          <w:p>
            <w:pPr>
              <w:spacing w:after="40"/>
            </w:pPr>
            <w:r/>
            <w:r>
              <w:rPr>
                <w:sz w:val="18"/>
              </w:rPr>
              <w:t>Not stated in report</w:t>
            </w:r>
          </w:p>
        </w:tc>
        <w:tc>
          <w:tcPr>
            <w:tcW w:type="dxa" w:w="1474"/>
          </w:tcPr>
          <w:p>
            <w:pPr>
              <w:spacing w:after="40"/>
            </w:pPr>
            <w:r/>
            <w:r>
              <w:rPr>
                <w:sz w:val="18"/>
              </w:rPr>
              <w:t>Not stated in report</w:t>
            </w:r>
          </w:p>
        </w:tc>
        <w:tc>
          <w:tcPr>
            <w:tcW w:type="dxa" w:w="1191"/>
          </w:tcPr>
          <w:p>
            <w:pPr>
              <w:spacing w:after="40"/>
            </w:pPr>
            <w:r/>
            <w:r>
              <w:rPr>
                <w:sz w:val="18"/>
              </w:rPr>
              <w:t>2025-01-16</w:t>
            </w:r>
          </w:p>
        </w:tc>
        <w:tc>
          <w:tcPr>
            <w:tcW w:type="dxa" w:w="1191"/>
          </w:tcPr>
          <w:p>
            <w:pPr>
              <w:spacing w:after="40"/>
            </w:pPr>
            <w:r/>
            <w:r>
              <w:rPr>
                <w:sz w:val="18"/>
              </w:rPr>
              <w:t>No</w:t>
            </w:r>
          </w:p>
        </w:tc>
      </w:tr>
    </w:tbl>
    <w:p>
      <w:pPr>
        <w:spacing w:after="40"/>
      </w:pPr>
    </w:p>
    <w:p>
      <w:pPr>
        <w:pStyle w:val="Heading1"/>
      </w:pPr>
      <w:r>
        <w:t>3. What is defensible today (use this actively in the session)</w:t>
      </w:r>
    </w:p>
    <w:p>
      <w:pPr>
        <w:pStyle w:val="ListBullet"/>
        <w:spacing w:after="60"/>
      </w:pPr>
      <w:r>
        <w:rPr>
          <w:b/>
        </w:rPr>
        <w:t xml:space="preserve">Criteria were frozen. </w:t>
      </w:r>
      <w:r>
        <w:t>AVT-VAL-104-P, -105-P, -106-P and -107-P were each approved before execution began, and each report states that no acceptance criterion was changed after execution started. The criteria tables in the reports match the criteria tables in the approved protocols verbatim.</w:t>
      </w:r>
    </w:p>
    <w:p>
      <w:pPr>
        <w:pStyle w:val="ListBullet"/>
        <w:spacing w:after="60"/>
      </w:pPr>
      <w:r>
        <w:rPr>
          <w:b/>
        </w:rPr>
        <w:t xml:space="preserve">Execution close-out is signed and reconciled. </w:t>
      </w:r>
      <w:r>
        <w:t>For AVT-VAL-107, executed issued copy 003 records performed (NB) / verified (AM) / QA review (AK), all dated 15-Nov-24, with an attachment index (ATT-01 organism identity and dilutions, ATT-02 FIT-01 printouts, ATT-03 recovery-membrane incubation log) and a page reconciliation.</w:t>
      </w:r>
    </w:p>
    <w:p>
      <w:pPr>
        <w:pStyle w:val="ListBullet"/>
        <w:spacing w:after="60"/>
      </w:pPr>
      <w:r>
        <w:rPr>
          <w:b/>
        </w:rPr>
        <w:t xml:space="preserve">Retention results reconcile to raw pages. </w:t>
      </w:r>
      <w:r>
        <w:t>Annex B1/B2 of the executed retention copy show challenge 1.32E+08 and 1.21E+08 CFU/cm², filtrate and post-rinse recovery of zero, bubble point 3.83/3.72 and 3.79/3.69 bar — identical to the values reported in AVT-VAL-107 section 8. The reported values trace to the executed record.</w:t>
      </w:r>
    </w:p>
    <w:p>
      <w:pPr>
        <w:pStyle w:val="ListBullet"/>
        <w:spacing w:after="60"/>
      </w:pPr>
      <w:r>
        <w:rPr>
          <w:b/>
        </w:rPr>
        <w:t xml:space="preserve">The microbial challenge is above expectation. </w:t>
      </w:r>
      <w:r>
        <w:t>Challenge density 1.21–1.38E+08 CFU/cm² against a criterion of NLT 1.0E+07 CFU/cm²; no organism recovered from pooled filtrate or post-rinse; positive and negative recovery controls conform; LRV 9.22–9.28. This is a strong retention data set on its own terms.</w:t>
      </w:r>
    </w:p>
    <w:p>
      <w:pPr>
        <w:pStyle w:val="ListBullet"/>
        <w:spacing w:after="60"/>
      </w:pPr>
      <w:r>
        <w:rPr>
          <w:b/>
        </w:rPr>
        <w:t xml:space="preserve">Deviations were captured contemporaneously and assessed. </w:t>
      </w:r>
      <w:r>
        <w:t>The one retention observation (VAL-FLT-BRT-002-OBS-01, second replicate started 14 minutes after the nominal inoculation window) is recorded on the executed copy, assessed against the protocol-defined 30-minute window and carried into the report. The AVT-VAL-105 blank excursion (VAL-FLT-EXT-003-DEV-01) is recorded with sequence rejection before sample interpretation. Neither was buried.</w:t>
      </w:r>
    </w:p>
    <w:p>
      <w:pPr>
        <w:pStyle w:val="ListBullet"/>
        <w:spacing w:after="60"/>
      </w:pPr>
      <w:r>
        <w:rPr>
          <w:b/>
        </w:rPr>
        <w:t xml:space="preserve">Boundaries are stated, not implied. </w:t>
      </w:r>
      <w:r>
        <w:t>All four filter reports carry the same lifecycle-trigger table (membrane/supplier change, sterilisation change, longer time or higher pressure, integrity-test limit) and all four state explicitly that the conclusion does not qualify alternate suppliers, materials, sterilisation cycles or operating limits. That is the right framing and it should be quoted, not paraphrased.</w:t>
      </w:r>
    </w:p>
    <w:p>
      <w:pPr>
        <w:pStyle w:val="Heading1"/>
      </w:pPr>
      <w:r>
        <w:t>4. Tier 1 — settle before the working session</w:t>
      </w:r>
    </w:p>
    <w:p>
      <w:r>
        <w:rPr>
          <w:b w:val="0"/>
          <w:i/>
          <w:sz w:val="18"/>
        </w:rPr>
        <w:t>Each item below is verifiable by an assessor without asking us anything they cannot already read.</w:t>
      </w:r>
    </w:p>
    <w:p>
      <w:pPr>
        <w:pStyle w:val="Heading2"/>
      </w:pPr>
      <w:r>
        <w:t>4.1 The challenge product lots could not have existed when the studies were executed</w:t>
      </w:r>
    </w:p>
    <w:tbl>
      <w:tblPr>
        <w:tblStyle w:val="TableGrid"/>
        <w:tblW w:type="auto" w:w="0"/>
        <w:jc w:val="center"/>
        <w:tblLook w:firstColumn="1" w:firstRow="1" w:lastColumn="0" w:lastRow="0" w:noHBand="0" w:noVBand="1" w:val="04A0"/>
      </w:tblPr>
      <w:tblGrid>
        <w:gridCol w:w="4929"/>
        <w:gridCol w:w="4929"/>
      </w:tblGrid>
      <w:tr>
        <w:tc>
          <w:tcPr>
            <w:tcW w:type="dxa" w:w="2041"/>
            <w:shd w:val="clear" w:fill="1F3A5F"/>
          </w:tcPr>
          <w:p>
            <w:pPr>
              <w:spacing w:after="40"/>
            </w:pPr>
            <w:r/>
            <w:r>
              <w:rPr>
                <w:b/>
                <w:color w:val="FFFFFF"/>
                <w:sz w:val="18"/>
              </w:rPr>
              <w:t>Element</w:t>
            </w:r>
          </w:p>
        </w:tc>
        <w:tc>
          <w:tcPr>
            <w:tcW w:type="dxa" w:w="7483"/>
            <w:shd w:val="clear" w:fill="1F3A5F"/>
          </w:tcPr>
          <w:p>
            <w:pPr>
              <w:spacing w:after="40"/>
            </w:pPr>
            <w:r/>
            <w:r>
              <w:rPr>
                <w:b/>
                <w:color w:val="FFFFFF"/>
                <w:sz w:val="18"/>
              </w:rPr>
              <w:t>Detail</w:t>
            </w:r>
          </w:p>
        </w:tc>
      </w:tr>
      <w:tr>
        <w:tc>
          <w:tcPr>
            <w:tcW w:type="dxa" w:w="2041"/>
          </w:tcPr>
          <w:p>
            <w:pPr>
              <w:spacing w:after="40"/>
            </w:pPr>
            <w:r/>
            <w:r>
              <w:rPr>
                <w:sz w:val="18"/>
              </w:rPr>
              <w:t>What the package says</w:t>
            </w:r>
          </w:p>
        </w:tc>
        <w:tc>
          <w:tcPr>
            <w:tcW w:type="dxa" w:w="7483"/>
          </w:tcPr>
          <w:p>
            <w:pPr>
              <w:spacing w:after="40"/>
            </w:pPr>
            <w:r/>
            <w:r>
              <w:rPr>
                <w:sz w:val="18"/>
              </w:rPr>
              <w:t>AVT-VAL-104-P and AVT-VAL-105-P section 5 list product lots AVI401-R01, AVI401-R02, AVI401-R03 with status “Released”, used for execution between 2024-10-14 and 2024-11-22.</w:t>
            </w:r>
          </w:p>
        </w:tc>
      </w:tr>
      <w:tr>
        <w:tc>
          <w:tcPr>
            <w:tcW w:type="dxa" w:w="2041"/>
          </w:tcPr>
          <w:p>
            <w:pPr>
              <w:spacing w:after="40"/>
            </w:pPr>
            <w:r/>
            <w:r>
              <w:rPr>
                <w:sz w:val="18"/>
              </w:rPr>
              <w:t>What the filed dossier says</w:t>
            </w:r>
          </w:p>
        </w:tc>
        <w:tc>
          <w:tcPr>
            <w:tcW w:type="dxa" w:w="7483"/>
          </w:tcPr>
          <w:p>
            <w:pPr>
              <w:spacing w:after="40"/>
            </w:pPr>
            <w:r/>
            <w:r>
              <w:rPr>
                <w:sz w:val="18"/>
              </w:rPr>
              <w:t>3.2.P.8 (AVT-CMC-038 v03, last filed sequence 0003) tabulates AVI401-R01 manufactured 2025-02-11, AVI401-R02 2025-02-13, AVI401-R03 2025-02-18.</w:t>
            </w:r>
          </w:p>
        </w:tc>
      </w:tr>
      <w:tr>
        <w:tc>
          <w:tcPr>
            <w:tcW w:type="dxa" w:w="2041"/>
          </w:tcPr>
          <w:p>
            <w:pPr>
              <w:spacing w:after="40"/>
            </w:pPr>
            <w:r/>
            <w:r>
              <w:rPr>
                <w:sz w:val="18"/>
              </w:rPr>
              <w:t>Why it matters</w:t>
            </w:r>
          </w:p>
        </w:tc>
        <w:tc>
          <w:tcPr>
            <w:tcW w:type="dxa" w:w="7483"/>
          </w:tcPr>
          <w:p>
            <w:pPr>
              <w:spacing w:after="40"/>
            </w:pPr>
            <w:r/>
            <w:r>
              <w:rPr>
                <w:sz w:val="18"/>
              </w:rPr>
              <w:t>As written, the filter studies were executed with released registration lots roughly three months before those lots were manufactured. An assessor holding the filed leaf and the protocol package can see this without assistance, and it is a chronology contradiction rather than a typographical one.</w:t>
            </w:r>
          </w:p>
        </w:tc>
      </w:tr>
      <w:tr>
        <w:tc>
          <w:tcPr>
            <w:tcW w:type="dxa" w:w="2041"/>
          </w:tcPr>
          <w:p>
            <w:pPr>
              <w:spacing w:after="40"/>
            </w:pPr>
            <w:r/>
            <w:r>
              <w:rPr>
                <w:sz w:val="18"/>
              </w:rPr>
              <w:t>Most likely benign explanation</w:t>
            </w:r>
          </w:p>
        </w:tc>
        <w:tc>
          <w:tcPr>
            <w:tcW w:type="dxa" w:w="7483"/>
          </w:tcPr>
          <w:p>
            <w:pPr>
              <w:spacing w:after="40"/>
            </w:pPr>
            <w:r/>
            <w:r>
              <w:rPr>
                <w:sz w:val="18"/>
              </w:rPr>
              <w:t>The protocols used the same identifiers for pre-registration engineering or development batches of the registration formulation, and the identifiers were later reassigned to the commercial-scale registration lots. That is defensible — but only if the actual batch identity, manufacturing date and release status of the material used in October and November 2024 can be produced from ERP/MES/LIMS.</w:t>
            </w:r>
          </w:p>
        </w:tc>
      </w:tr>
      <w:tr>
        <w:tc>
          <w:tcPr>
            <w:tcW w:type="dxa" w:w="2041"/>
          </w:tcPr>
          <w:p>
            <w:pPr>
              <w:spacing w:after="40"/>
            </w:pPr>
            <w:r/>
            <w:r>
              <w:rPr>
                <w:sz w:val="18"/>
              </w:rPr>
              <w:t>Required before the session</w:t>
            </w:r>
          </w:p>
        </w:tc>
        <w:tc>
          <w:tcPr>
            <w:tcW w:type="dxa" w:w="7483"/>
          </w:tcPr>
          <w:p>
            <w:pPr>
              <w:spacing w:after="40"/>
            </w:pPr>
            <w:r/>
            <w:r>
              <w:rPr>
                <w:sz w:val="18"/>
              </w:rPr>
              <w:t>Retrieve the actual identity and release evidence of the product used in each execution and prepare a single reconciliation statement. If the identifiers were reassigned, say so plainly and show the mapping. Do not present the current lot list as the challenge material.</w:t>
            </w:r>
          </w:p>
        </w:tc>
      </w:tr>
    </w:tbl>
    <w:p>
      <w:pPr>
        <w:spacing w:after="40"/>
      </w:pPr>
    </w:p>
    <w:p>
      <w:pPr>
        <w:pStyle w:val="Heading2"/>
      </w:pPr>
      <w:r>
        <w:t>4.2 The three container-system reports are not independently verifiable as written</w:t>
      </w:r>
    </w:p>
    <w:p>
      <w:r>
        <w:rPr>
          <w:b w:val="0"/>
          <w:i w:val="0"/>
        </w:rPr>
        <w:t>AVT-VAL-201, -202 and -203 were approved 2025-01-16 by the same signatories. Read side by side they present the same executed results for three different studies:</w:t>
      </w:r>
    </w:p>
    <w:tbl>
      <w:tblPr>
        <w:tblStyle w:val="TableGrid"/>
        <w:tblW w:type="auto" w:w="0"/>
        <w:jc w:val="center"/>
        <w:tblLook w:firstColumn="1" w:firstRow="1" w:lastColumn="0" w:lastRow="0" w:noHBand="0" w:noVBand="1" w:val="04A0"/>
      </w:tblPr>
      <w:tblGrid>
        <w:gridCol w:w="2464"/>
        <w:gridCol w:w="2464"/>
        <w:gridCol w:w="2464"/>
        <w:gridCol w:w="2464"/>
      </w:tblGrid>
      <w:tr>
        <w:tc>
          <w:tcPr>
            <w:tcW w:type="dxa" w:w="2608"/>
            <w:shd w:val="clear" w:fill="1F3A5F"/>
          </w:tcPr>
          <w:p>
            <w:pPr>
              <w:spacing w:after="40"/>
            </w:pPr>
            <w:r/>
            <w:r>
              <w:rPr>
                <w:b/>
                <w:color w:val="FFFFFF"/>
                <w:sz w:val="18"/>
              </w:rPr>
              <w:t>Observation</w:t>
            </w:r>
          </w:p>
        </w:tc>
        <w:tc>
          <w:tcPr>
            <w:tcW w:type="dxa" w:w="2324"/>
            <w:shd w:val="clear" w:fill="1F3A5F"/>
          </w:tcPr>
          <w:p>
            <w:pPr>
              <w:spacing w:after="40"/>
            </w:pPr>
            <w:r/>
            <w:r>
              <w:rPr>
                <w:b/>
                <w:color w:val="FFFFFF"/>
                <w:sz w:val="18"/>
              </w:rPr>
              <w:t>AVT-VAL-201</w:t>
            </w:r>
          </w:p>
        </w:tc>
        <w:tc>
          <w:tcPr>
            <w:tcW w:type="dxa" w:w="2324"/>
            <w:shd w:val="clear" w:fill="1F3A5F"/>
          </w:tcPr>
          <w:p>
            <w:pPr>
              <w:spacing w:after="40"/>
            </w:pPr>
            <w:r/>
            <w:r>
              <w:rPr>
                <w:b/>
                <w:color w:val="FFFFFF"/>
                <w:sz w:val="18"/>
              </w:rPr>
              <w:t>AVT-VAL-202</w:t>
            </w:r>
          </w:p>
        </w:tc>
        <w:tc>
          <w:tcPr>
            <w:tcW w:type="dxa" w:w="2268"/>
            <w:shd w:val="clear" w:fill="1F3A5F"/>
          </w:tcPr>
          <w:p>
            <w:pPr>
              <w:spacing w:after="40"/>
            </w:pPr>
            <w:r/>
            <w:r>
              <w:rPr>
                <w:b/>
                <w:color w:val="FFFFFF"/>
                <w:sz w:val="18"/>
              </w:rPr>
              <w:t>AVT-VAL-203</w:t>
            </w:r>
          </w:p>
        </w:tc>
      </w:tr>
      <w:tr>
        <w:tc>
          <w:tcPr>
            <w:tcW w:type="dxa" w:w="2608"/>
          </w:tcPr>
          <w:p>
            <w:pPr>
              <w:spacing w:after="40"/>
            </w:pPr>
            <w:r/>
            <w:r>
              <w:rPr>
                <w:sz w:val="18"/>
              </w:rPr>
              <w:t>Assay initial / challenge</w:t>
            </w:r>
          </w:p>
        </w:tc>
        <w:tc>
          <w:tcPr>
            <w:tcW w:type="dxa" w:w="2324"/>
          </w:tcPr>
          <w:p>
            <w:pPr>
              <w:spacing w:after="40"/>
            </w:pPr>
            <w:r/>
            <w:r>
              <w:rPr>
                <w:sz w:val="18"/>
              </w:rPr>
              <w:t>100.1 % / 99.8 %</w:t>
            </w:r>
          </w:p>
        </w:tc>
        <w:tc>
          <w:tcPr>
            <w:tcW w:type="dxa" w:w="2324"/>
          </w:tcPr>
          <w:p>
            <w:pPr>
              <w:spacing w:after="40"/>
            </w:pPr>
            <w:r/>
            <w:r>
              <w:rPr>
                <w:sz w:val="18"/>
              </w:rPr>
              <w:t>100.1 % / 99.8 %</w:t>
            </w:r>
          </w:p>
        </w:tc>
        <w:tc>
          <w:tcPr>
            <w:tcW w:type="dxa" w:w="2268"/>
          </w:tcPr>
          <w:p>
            <w:pPr>
              <w:spacing w:after="40"/>
            </w:pPr>
            <w:r/>
            <w:r>
              <w:rPr>
                <w:sz w:val="18"/>
              </w:rPr>
              <w:t>100.1 % / 99.8 %</w:t>
            </w:r>
          </w:p>
        </w:tc>
      </w:tr>
      <w:tr>
        <w:tc>
          <w:tcPr>
            <w:tcW w:type="dxa" w:w="2608"/>
          </w:tcPr>
          <w:p>
            <w:pPr>
              <w:spacing w:after="40"/>
            </w:pPr>
            <w:r/>
            <w:r>
              <w:rPr>
                <w:sz w:val="18"/>
              </w:rPr>
              <w:t>Total impurities initial / challenge</w:t>
            </w:r>
          </w:p>
        </w:tc>
        <w:tc>
          <w:tcPr>
            <w:tcW w:type="dxa" w:w="2324"/>
          </w:tcPr>
          <w:p>
            <w:pPr>
              <w:spacing w:after="40"/>
            </w:pPr>
            <w:r/>
            <w:r>
              <w:rPr>
                <w:sz w:val="18"/>
              </w:rPr>
              <w:t>0.18 % / 0.24 %</w:t>
            </w:r>
          </w:p>
        </w:tc>
        <w:tc>
          <w:tcPr>
            <w:tcW w:type="dxa" w:w="2324"/>
          </w:tcPr>
          <w:p>
            <w:pPr>
              <w:spacing w:after="40"/>
            </w:pPr>
            <w:r/>
            <w:r>
              <w:rPr>
                <w:sz w:val="18"/>
              </w:rPr>
              <w:t>0.18 % / 0.24 %</w:t>
            </w:r>
          </w:p>
        </w:tc>
        <w:tc>
          <w:tcPr>
            <w:tcW w:type="dxa" w:w="2268"/>
          </w:tcPr>
          <w:p>
            <w:pPr>
              <w:spacing w:after="40"/>
            </w:pPr>
            <w:r/>
            <w:r>
              <w:rPr>
                <w:sz w:val="18"/>
              </w:rPr>
              <w:t>0.18 % / 0.24 %</w:t>
            </w:r>
          </w:p>
        </w:tc>
      </w:tr>
      <w:tr>
        <w:tc>
          <w:tcPr>
            <w:tcW w:type="dxa" w:w="2608"/>
          </w:tcPr>
          <w:p>
            <w:pPr>
              <w:spacing w:after="40"/>
            </w:pPr>
            <w:r/>
            <w:r>
              <w:rPr>
                <w:sz w:val="18"/>
              </w:rPr>
              <w:t>pH initial / challenge</w:t>
            </w:r>
          </w:p>
        </w:tc>
        <w:tc>
          <w:tcPr>
            <w:tcW w:type="dxa" w:w="2324"/>
          </w:tcPr>
          <w:p>
            <w:pPr>
              <w:spacing w:after="40"/>
            </w:pPr>
            <w:r/>
            <w:r>
              <w:rPr>
                <w:sz w:val="18"/>
              </w:rPr>
              <w:t>5.21 / 5.19</w:t>
            </w:r>
          </w:p>
        </w:tc>
        <w:tc>
          <w:tcPr>
            <w:tcW w:type="dxa" w:w="2324"/>
          </w:tcPr>
          <w:p>
            <w:pPr>
              <w:spacing w:after="40"/>
            </w:pPr>
            <w:r/>
            <w:r>
              <w:rPr>
                <w:sz w:val="18"/>
              </w:rPr>
              <w:t>5.21 / 5.19</w:t>
            </w:r>
          </w:p>
        </w:tc>
        <w:tc>
          <w:tcPr>
            <w:tcW w:type="dxa" w:w="2268"/>
          </w:tcPr>
          <w:p>
            <w:pPr>
              <w:spacing w:after="40"/>
            </w:pPr>
            <w:r/>
            <w:r>
              <w:rPr>
                <w:sz w:val="18"/>
              </w:rPr>
              <w:t>5.21 / 5.19</w:t>
            </w:r>
          </w:p>
        </w:tc>
      </w:tr>
      <w:tr>
        <w:tc>
          <w:tcPr>
            <w:tcW w:type="dxa" w:w="2608"/>
          </w:tcPr>
          <w:p>
            <w:pPr>
              <w:spacing w:after="40"/>
            </w:pPr>
            <w:r/>
            <w:r>
              <w:rPr>
                <w:sz w:val="18"/>
              </w:rPr>
              <w:t>Observation 01</w:t>
            </w:r>
          </w:p>
        </w:tc>
        <w:tc>
          <w:tcPr>
            <w:tcW w:type="dxa" w:w="2324"/>
          </w:tcPr>
          <w:p>
            <w:pPr>
              <w:spacing w:after="40"/>
            </w:pPr>
            <w:r/>
            <w:r>
              <w:rPr>
                <w:sz w:val="18"/>
              </w:rPr>
              <w:t>Sample transfer delayed 18 minutes</w:t>
            </w:r>
          </w:p>
        </w:tc>
        <w:tc>
          <w:tcPr>
            <w:tcW w:type="dxa" w:w="2324"/>
          </w:tcPr>
          <w:p>
            <w:pPr>
              <w:spacing w:after="40"/>
            </w:pPr>
            <w:r/>
            <w:r>
              <w:rPr>
                <w:sz w:val="18"/>
              </w:rPr>
              <w:t>Sample transfer delayed 18 minutes</w:t>
            </w:r>
          </w:p>
        </w:tc>
        <w:tc>
          <w:tcPr>
            <w:tcW w:type="dxa" w:w="2268"/>
          </w:tcPr>
          <w:p>
            <w:pPr>
              <w:spacing w:after="40"/>
            </w:pPr>
            <w:r/>
            <w:r>
              <w:rPr>
                <w:sz w:val="18"/>
              </w:rPr>
              <w:t>Sample transfer delayed 18 minutes</w:t>
            </w:r>
          </w:p>
        </w:tc>
      </w:tr>
      <w:tr>
        <w:tc>
          <w:tcPr>
            <w:tcW w:type="dxa" w:w="2608"/>
          </w:tcPr>
          <w:p>
            <w:pPr>
              <w:spacing w:after="40"/>
            </w:pPr>
            <w:r/>
            <w:r>
              <w:rPr>
                <w:sz w:val="18"/>
              </w:rPr>
              <w:t>Observation 02</w:t>
            </w:r>
          </w:p>
        </w:tc>
        <w:tc>
          <w:tcPr>
            <w:tcW w:type="dxa" w:w="2324"/>
          </w:tcPr>
          <w:p>
            <w:pPr>
              <w:spacing w:after="40"/>
            </w:pPr>
            <w:r/>
            <w:r>
              <w:rPr>
                <w:sz w:val="18"/>
              </w:rPr>
              <w:t>Serial number transposition</w:t>
            </w:r>
          </w:p>
        </w:tc>
        <w:tc>
          <w:tcPr>
            <w:tcW w:type="dxa" w:w="2324"/>
          </w:tcPr>
          <w:p>
            <w:pPr>
              <w:spacing w:after="40"/>
            </w:pPr>
            <w:r/>
            <w:r>
              <w:rPr>
                <w:sz w:val="18"/>
              </w:rPr>
              <w:t>Serial number transposition</w:t>
            </w:r>
          </w:p>
        </w:tc>
        <w:tc>
          <w:tcPr>
            <w:tcW w:type="dxa" w:w="2268"/>
          </w:tcPr>
          <w:p>
            <w:pPr>
              <w:spacing w:after="40"/>
            </w:pPr>
            <w:r/>
            <w:r>
              <w:rPr>
                <w:sz w:val="18"/>
              </w:rPr>
              <w:t>Serial number transposition</w:t>
            </w:r>
          </w:p>
        </w:tc>
      </w:tr>
      <w:tr>
        <w:tc>
          <w:tcPr>
            <w:tcW w:type="dxa" w:w="2608"/>
          </w:tcPr>
          <w:p>
            <w:pPr>
              <w:spacing w:after="40"/>
            </w:pPr>
            <w:r/>
            <w:r>
              <w:rPr>
                <w:sz w:val="18"/>
              </w:rPr>
              <w:t>Cited laboratory event</w:t>
            </w:r>
          </w:p>
        </w:tc>
        <w:tc>
          <w:tcPr>
            <w:tcW w:type="dxa" w:w="2324"/>
          </w:tcPr>
          <w:p>
            <w:pPr>
              <w:spacing w:after="40"/>
            </w:pPr>
            <w:r/>
            <w:r>
              <w:rPr>
                <w:sz w:val="18"/>
              </w:rPr>
              <w:t>LAB-2025-114</w:t>
            </w:r>
          </w:p>
        </w:tc>
        <w:tc>
          <w:tcPr>
            <w:tcW w:type="dxa" w:w="2324"/>
          </w:tcPr>
          <w:p>
            <w:pPr>
              <w:spacing w:after="40"/>
            </w:pPr>
            <w:r/>
            <w:r>
              <w:rPr>
                <w:sz w:val="18"/>
              </w:rPr>
              <w:t>LAB-2025-114</w:t>
            </w:r>
          </w:p>
        </w:tc>
        <w:tc>
          <w:tcPr>
            <w:tcW w:type="dxa" w:w="2268"/>
          </w:tcPr>
          <w:p>
            <w:pPr>
              <w:spacing w:after="40"/>
            </w:pPr>
            <w:r/>
            <w:r>
              <w:rPr>
                <w:sz w:val="18"/>
              </w:rPr>
              <w:t>LAB-2025-114</w:t>
            </w:r>
          </w:p>
        </w:tc>
      </w:tr>
    </w:tbl>
    <w:p>
      <w:pPr>
        <w:spacing w:after="40"/>
      </w:pPr>
    </w:p>
    <w:p>
      <w:pPr>
        <w:pStyle w:val="ListBullet"/>
        <w:spacing w:after="60"/>
      </w:pPr>
      <w:r>
        <w:rPr>
          <w:b/>
        </w:rPr>
        <w:t xml:space="preserve">Compounding this: </w:t>
      </w:r>
      <w:r>
        <w:t>no protocol identifier, protocol version or execution dates are given in any of the three reports (they refer only to “the approved protocol”), and no protocol or executed copy for -201/-202/-203 is present in the package;</w:t>
      </w:r>
    </w:p>
    <w:p>
      <w:pPr>
        <w:pStyle w:val="ListBullet"/>
        <w:spacing w:after="60"/>
      </w:pPr>
      <w:r>
        <w:t>LAB-2025-114 is described in the filed 3.2.P.8 leaf as the invalidation of an accelerated Impurity B injection on AVI401-R02 at the 6-month timepoint. The accelerated study ran on lots manufactured in February 2025, so that event cannot predate the 2025-01-16 approval of the reports that cite it.</w:t>
      </w:r>
    </w:p>
    <w:p>
      <w:pPr>
        <w:pStyle w:val="ListBullet"/>
        <w:spacing w:after="60"/>
      </w:pPr>
      <w:r>
        <w:t>the AVT-VAL-201 representative figure plots a total-impurity trend for AVI401-R01/R02/R03 across 0, 3, 6, 9, 12, 18 and 24 months. Long-term study STB-AVI401-002 began 2025-03-01 and the 24-month pull is planned for 2027-03-01, so 24-month data did not exist at approval and do not exist yet.</w:t>
      </w:r>
    </w:p>
    <w:p>
      <w:pPr>
        <w:pStyle w:val="ListBullet"/>
        <w:spacing w:after="60"/>
      </w:pPr>
      <w:r>
        <w:t>the same figure is annotated “Specification limit 2.0”, whereas AVT-SPEC-018 v03 sets total impurities at NMT 1.0 per cent.</w:t>
      </w:r>
    </w:p>
    <w:p>
      <w:pPr>
        <w:pStyle w:val="ListBullet"/>
        <w:spacing w:after="60"/>
      </w:pPr>
      <w:r>
        <w:t>LAB-2025-114 also does not follow the site laboratory-investigation numbering (the only investigation record on file is LAB-INV-2026-014) and is not retrievable from the folder structure.</w:t>
      </w:r>
    </w:p>
    <w:p>
      <w:r>
        <w:rPr>
          <w:b/>
          <w:i w:val="0"/>
        </w:rPr>
        <w:t xml:space="preserve">Recommendation. </w:t>
      </w:r>
      <w:r>
        <w:rPr>
          <w:b w:val="0"/>
          <w:i w:val="0"/>
        </w:rPr>
        <w:t>Treat these three reports as a separate, pre-declared workstream rather than as part of the filter defence. Before the session, establish from the native records whether each study has its own protocol, executed copy and study-specific data; if the reports were assembled from a template and populated with stability data, that must be raised internally through the quality system now, not answered live. If the container system is not on the agenda, do not introduce it.</w:t>
      </w:r>
    </w:p>
    <w:p>
      <w:pPr>
        <w:pStyle w:val="Heading2"/>
      </w:pPr>
      <w:r>
        <w:t>4.3 The governing change control cited by all four filter protocols does not appear in the register</w:t>
      </w:r>
    </w:p>
    <w:p>
      <w:r>
        <w:rPr>
          <w:b w:val="0"/>
          <w:i w:val="0"/>
        </w:rPr>
        <w:t>Section 8 of AVT-VAL-104-P, -105-P, -106-P and -107-P states: “The protocol is linked to CC-2024-011.” The site Change Control Register contains CC-2024-001 to CC-2024-004 only, and the Quality/Change Control/2024 folder holds the same four records. No CC-2024-011 exists in either. Either the reference is wrong in four approved protocols, or the governing change record is held somewhere that is not the register. Confirm which, in writing, before an assessor asks to see CC-2024-011 — this is a routine first request when a protocol names its change control.</w:t>
      </w:r>
    </w:p>
    <w:p>
      <w:pPr>
        <w:pStyle w:val="Heading2"/>
      </w:pPr>
      <w:r>
        <w:t>4.4 There is no disc-to-cartridge bridge, and the E&amp;L exposure basis is not derived</w:t>
      </w:r>
    </w:p>
    <w:p>
      <w:pPr>
        <w:pStyle w:val="ListBullet"/>
        <w:spacing w:after="60"/>
      </w:pPr>
      <w:r>
        <w:rPr>
          <w:b/>
        </w:rPr>
        <w:t xml:space="preserve">Scale. </w:t>
      </w:r>
      <w:r>
        <w:t>Section 2 of all four filter protocols identifies the test article as a 47 mm hydrophilic PVDF disc (MAT-FLT-022) with an effective area of 13.8 cm², and states that the production-equivalent configuration is a 254 mm cartridge. No document in the package addresses equivalence between the two.</w:t>
      </w:r>
    </w:p>
    <w:p>
      <w:pPr>
        <w:pStyle w:val="ListBullet"/>
        <w:spacing w:after="60"/>
      </w:pPr>
      <w:r>
        <w:rPr>
          <w:b/>
        </w:rPr>
        <w:t xml:space="preserve">Exposure derivation. </w:t>
      </w:r>
      <w:r>
        <w:t>AVT-VAL-105 reports every result as “µg per filter” from the 13.8 cm² disc, and the criterion for an unidentified organic extractable is 0.50 µg per filter. The protocol says exposure is translated “using maximum daily dose, filter-to-batch scaling and no-loss assumptions”, but no scaling factor, filter count, batch size or maximum daily dose value appears anywhere in the report. The daily-exposure column (for example 0.014 µg/day for BHT against a 1.50 µg/day allocation) therefore cannot be reproduced by a reader.</w:t>
      </w:r>
    </w:p>
    <w:p>
      <w:pPr>
        <w:pStyle w:val="ListBullet"/>
        <w:spacing w:after="60"/>
      </w:pPr>
      <w:r>
        <w:rPr>
          <w:b/>
        </w:rPr>
        <w:t xml:space="preserve">Why this is the highest-value preparation item. </w:t>
      </w:r>
      <w:r>
        <w:t>A 254 mm cartridge has an effective area orders of magnitude larger than a 47 mm disc. If the assessor assumes area-proportional scaling, the stated margins compress substantially. We do not need to concede that — dilution into batch volume and per-patient dose may well preserve the margin — but we must be able to show the arithmetic on a single page, with the assumptions named.</w:t>
      </w:r>
    </w:p>
    <w:p>
      <w:pPr>
        <w:pStyle w:val="ListBullet"/>
        <w:spacing w:after="60"/>
      </w:pPr>
      <w:r>
        <w:rPr>
          <w:b/>
        </w:rPr>
        <w:t xml:space="preserve">Retention scale. </w:t>
      </w:r>
      <w:r>
        <w:t>AVT-VAL-107 retention was executed on 13.8 cm² discs only. Expect a question on whether retention has been demonstrated for, or validly scaled to, the production cartridge at the maximum validated differential pressure and flux. Have the position and its justification written down.</w:t>
      </w:r>
    </w:p>
    <w:p>
      <w:pPr>
        <w:pStyle w:val="Heading2"/>
      </w:pPr>
      <w:r>
        <w:t>4.5 The incubator used for the retention recovery counts has no asset record on site</w:t>
      </w:r>
    </w:p>
    <w:p>
      <w:r>
        <w:rPr>
          <w:b w:val="0"/>
          <w:i w:val="0"/>
        </w:rPr>
        <w:t>AVT-VAL-104-P, -105-P, -106-P and -107-P all list “INC-03 Microbiology incubator 30-35 C” in the materials and equipment table, and Annex A of the executed retention copy records INC-03 as the incubator, with ATT-03 identified as the INC-03 recovery-membrane incubation log. INC-03 also appears in method MTH-MIC-001 and in the planned 24-month sterility testing. However, the equipment file holds INC-01 and INC-02 only; there is no qualification summary and no calibration certificate for INC-03 anywhere in Engineering/Equipment or in the laboratory asset records. The sterility-critical conclusion of AVT-VAL-107 rests on recovery counts incubated in that unit. Locate the qualification and calibration history and attach it to the session pack; if the asset is qualified under a different identifier, document the mapping.</w:t>
      </w:r>
    </w:p>
    <w:p>
      <w:pPr>
        <w:pStyle w:val="Heading1"/>
      </w:pPr>
      <w:r>
        <w:t>5. Tier 2 — prepare an answer, but these are explainable</w:t>
      </w:r>
    </w:p>
    <w:tbl>
      <w:tblPr>
        <w:tblStyle w:val="TableGrid"/>
        <w:tblW w:type="auto" w:w="0"/>
        <w:jc w:val="center"/>
        <w:tblLook w:firstColumn="1" w:firstRow="1" w:lastColumn="0" w:lastRow="0" w:noHBand="0" w:noVBand="1" w:val="04A0"/>
      </w:tblPr>
      <w:tblGrid>
        <w:gridCol w:w="2464"/>
        <w:gridCol w:w="2464"/>
        <w:gridCol w:w="2464"/>
        <w:gridCol w:w="2464"/>
      </w:tblGrid>
      <w:tr>
        <w:tc>
          <w:tcPr>
            <w:tcW w:type="dxa" w:w="454"/>
            <w:shd w:val="clear" w:fill="1F3A5F"/>
          </w:tcPr>
          <w:p>
            <w:pPr>
              <w:spacing w:after="40"/>
            </w:pPr>
            <w:r/>
            <w:r>
              <w:rPr>
                <w:b/>
                <w:color w:val="FFFFFF"/>
                <w:sz w:val="18"/>
              </w:rPr>
              <w:t>#</w:t>
            </w:r>
          </w:p>
        </w:tc>
        <w:tc>
          <w:tcPr>
            <w:tcW w:type="dxa" w:w="2154"/>
            <w:shd w:val="clear" w:fill="1F3A5F"/>
          </w:tcPr>
          <w:p>
            <w:pPr>
              <w:spacing w:after="40"/>
            </w:pPr>
            <w:r/>
            <w:r>
              <w:rPr>
                <w:b/>
                <w:color w:val="FFFFFF"/>
                <w:sz w:val="18"/>
              </w:rPr>
              <w:t>Item</w:t>
            </w:r>
          </w:p>
        </w:tc>
        <w:tc>
          <w:tcPr>
            <w:tcW w:type="dxa" w:w="3515"/>
            <w:shd w:val="clear" w:fill="1F3A5F"/>
          </w:tcPr>
          <w:p>
            <w:pPr>
              <w:spacing w:after="40"/>
            </w:pPr>
            <w:r/>
            <w:r>
              <w:rPr>
                <w:b/>
                <w:color w:val="FFFFFF"/>
                <w:sz w:val="18"/>
              </w:rPr>
              <w:t>Evidence</w:t>
            </w:r>
          </w:p>
        </w:tc>
        <w:tc>
          <w:tcPr>
            <w:tcW w:type="dxa" w:w="3402"/>
            <w:shd w:val="clear" w:fill="1F3A5F"/>
          </w:tcPr>
          <w:p>
            <w:pPr>
              <w:spacing w:after="40"/>
            </w:pPr>
            <w:r/>
            <w:r>
              <w:rPr>
                <w:b/>
                <w:color w:val="FFFFFF"/>
                <w:sz w:val="18"/>
              </w:rPr>
              <w:t>Suggested handling</w:t>
            </w:r>
          </w:p>
        </w:tc>
      </w:tr>
      <w:tr>
        <w:tc>
          <w:tcPr>
            <w:tcW w:type="dxa" w:w="454"/>
          </w:tcPr>
          <w:p>
            <w:pPr>
              <w:spacing w:after="40"/>
            </w:pPr>
            <w:r/>
            <w:r>
              <w:rPr>
                <w:sz w:val="18"/>
              </w:rPr>
              <w:t>1</w:t>
            </w:r>
          </w:p>
        </w:tc>
        <w:tc>
          <w:tcPr>
            <w:tcW w:type="dxa" w:w="2154"/>
          </w:tcPr>
          <w:p>
            <w:pPr>
              <w:spacing w:after="40"/>
            </w:pPr>
            <w:r/>
            <w:r>
              <w:rPr>
                <w:sz w:val="18"/>
              </w:rPr>
              <w:t>Asset status statements in the protocols do not match the calibration certificates</w:t>
            </w:r>
          </w:p>
        </w:tc>
        <w:tc>
          <w:tcPr>
            <w:tcW w:type="dxa" w:w="3515"/>
          </w:tcPr>
          <w:p>
            <w:pPr>
              <w:spacing w:after="40"/>
            </w:pPr>
            <w:r/>
            <w:r>
              <w:rPr>
                <w:sz w:val="18"/>
              </w:rPr>
              <w:t>Protocols state FIT-01 due 2025-12-18, GC-01 due 2025-10-31, HPLC-02 due 2025-09-30. Certificates say FIT-01 calibrated 2024-04-25 due 2025-04-25 (KES-2024-4463), GC-01 calibrated 2024-07-28 due 2025-07-28 (MER-2024-2382), HPLC-02 calibrated 2024-06-12 due 2025-06-12 (CAL-2024-1994).</w:t>
            </w:r>
          </w:p>
        </w:tc>
        <w:tc>
          <w:tcPr>
            <w:tcW w:type="dxa" w:w="3402"/>
          </w:tcPr>
          <w:p>
            <w:pPr>
              <w:spacing w:after="40"/>
            </w:pPr>
            <w:r/>
            <w:r>
              <w:rPr>
                <w:sz w:val="18"/>
              </w:rPr>
              <w:t>All three assets were inside their calibration interval during the October–November 2024 executions, so validity is not affected. Concede the transcription defect openly, show the certificates, and treat it as a documentation-practice correction rather than defending the stated dates.</w:t>
            </w:r>
          </w:p>
        </w:tc>
      </w:tr>
      <w:tr>
        <w:tc>
          <w:tcPr>
            <w:tcW w:type="dxa" w:w="454"/>
          </w:tcPr>
          <w:p>
            <w:pPr>
              <w:spacing w:after="40"/>
            </w:pPr>
            <w:r/>
            <w:r>
              <w:rPr>
                <w:sz w:val="18"/>
              </w:rPr>
              <w:t>2</w:t>
            </w:r>
          </w:p>
        </w:tc>
        <w:tc>
          <w:tcPr>
            <w:tcW w:type="dxa" w:w="2154"/>
          </w:tcPr>
          <w:p>
            <w:pPr>
              <w:spacing w:after="40"/>
            </w:pPr>
            <w:r/>
            <w:r>
              <w:rPr>
                <w:sz w:val="18"/>
              </w:rPr>
              <w:t>FIT-01 calibration interval lapsed after the studies</w:t>
            </w:r>
          </w:p>
        </w:tc>
        <w:tc>
          <w:tcPr>
            <w:tcW w:type="dxa" w:w="3515"/>
          </w:tcPr>
          <w:p>
            <w:pPr>
              <w:spacing w:after="40"/>
            </w:pPr>
            <w:r/>
            <w:r>
              <w:rPr>
                <w:sz w:val="18"/>
              </w:rPr>
              <w:t>FIT-01 due 2025-04-25; next certificate KES-2025-4556 records calibration on 2025-05-20 — a gap of about 25 days. No bridging or impact assessment for that window was located.</w:t>
            </w:r>
          </w:p>
        </w:tc>
        <w:tc>
          <w:tcPr>
            <w:tcW w:type="dxa" w:w="3402"/>
          </w:tcPr>
          <w:p>
            <w:pPr>
              <w:spacing w:after="40"/>
            </w:pPr>
            <w:r/>
            <w:r>
              <w:rPr>
                <w:sz w:val="18"/>
              </w:rPr>
              <w:t>Outside the validation execution window, so it does not touch AVT-VAL-106/-107 conclusions. Be ready to state whether any integrity testing was performed on FIT-01 between 25 April and 20 May 2025 and, if so, point to the assessment.</w:t>
            </w:r>
          </w:p>
        </w:tc>
      </w:tr>
      <w:tr>
        <w:tc>
          <w:tcPr>
            <w:tcW w:type="dxa" w:w="454"/>
          </w:tcPr>
          <w:p>
            <w:pPr>
              <w:spacing w:after="40"/>
            </w:pPr>
            <w:r/>
            <w:r>
              <w:rPr>
                <w:sz w:val="18"/>
              </w:rPr>
              <w:t>3</w:t>
            </w:r>
          </w:p>
        </w:tc>
        <w:tc>
          <w:tcPr>
            <w:tcW w:type="dxa" w:w="2154"/>
          </w:tcPr>
          <w:p>
            <w:pPr>
              <w:spacing w:after="40"/>
            </w:pPr>
            <w:r/>
            <w:r>
              <w:rPr>
                <w:sz w:val="18"/>
              </w:rPr>
              <w:t>The sterilisation basis is asserted but not linked to a record</w:t>
            </w:r>
          </w:p>
        </w:tc>
        <w:tc>
          <w:tcPr>
            <w:tcW w:type="dxa" w:w="3515"/>
          </w:tcPr>
          <w:p>
            <w:pPr>
              <w:spacing w:after="40"/>
            </w:pPr>
            <w:r/>
            <w:r>
              <w:rPr>
                <w:sz w:val="18"/>
              </w:rPr>
              <w:t>All four protocols state sterilisation as “Autoclave 121 C for 30 minutes” and use “two autoclave cycles” as the worst-case basis. No autoclave asset is identified and no cycle-validation report for the filter assembly is in the package. AUT-01 holds calibration records only; AUT-02 has a qualification summary (AVT-VAL-303).</w:t>
            </w:r>
          </w:p>
        </w:tc>
        <w:tc>
          <w:tcPr>
            <w:tcW w:type="dxa" w:w="3402"/>
          </w:tcPr>
          <w:p>
            <w:pPr>
              <w:spacing w:after="40"/>
            </w:pPr>
            <w:r/>
            <w:r>
              <w:rPr>
                <w:sz w:val="18"/>
              </w:rPr>
              <w:t>Filter sterilisation is a standard line of questioning and the lifecycle table itself names sterilisation change as a trigger. Identify the autoclave and the governing cycle-validation record, and add both to the package index.</w:t>
            </w:r>
          </w:p>
        </w:tc>
      </w:tr>
      <w:tr>
        <w:tc>
          <w:tcPr>
            <w:tcW w:type="dxa" w:w="454"/>
          </w:tcPr>
          <w:p>
            <w:pPr>
              <w:spacing w:after="40"/>
            </w:pPr>
            <w:r/>
            <w:r>
              <w:rPr>
                <w:sz w:val="18"/>
              </w:rPr>
              <w:t>4</w:t>
            </w:r>
          </w:p>
        </w:tc>
        <w:tc>
          <w:tcPr>
            <w:tcW w:type="dxa" w:w="2154"/>
          </w:tcPr>
          <w:p>
            <w:pPr>
              <w:spacing w:after="40"/>
            </w:pPr>
            <w:r/>
            <w:r>
              <w:rPr>
                <w:sz w:val="18"/>
              </w:rPr>
              <w:t>The integrity-to-retention correlation was concluded before the retention report was approved</w:t>
            </w:r>
          </w:p>
        </w:tc>
        <w:tc>
          <w:tcPr>
            <w:tcW w:type="dxa" w:w="3515"/>
          </w:tcPr>
          <w:p>
            <w:pPr>
              <w:spacing w:after="40"/>
            </w:pPr>
            <w:r/>
            <w:r>
              <w:rPr>
                <w:sz w:val="18"/>
              </w:rPr>
              <w:t>AVT-VAL-106 acceptance criterion 5 requires that the integrity result remain correlated to the bacterial-retention qualification; AVT-VAL-106 was approved 2024-11-29, AVT-VAL-107 on 2024-12-13.</w:t>
            </w:r>
          </w:p>
        </w:tc>
        <w:tc>
          <w:tcPr>
            <w:tcW w:type="dxa" w:w="3402"/>
          </w:tcPr>
          <w:p>
            <w:pPr>
              <w:spacing w:after="40"/>
            </w:pPr>
            <w:r/>
            <w:r>
              <w:rPr>
                <w:sz w:val="18"/>
              </w:rPr>
              <w:t>Defensible if the correlation rests on the executed retention data (available from 15-Nov-24) rather than on the approved report. Say that explicitly and show the executed annexes; do not claim the reports were sequenced the other way.</w:t>
            </w:r>
          </w:p>
        </w:tc>
      </w:tr>
      <w:tr>
        <w:tc>
          <w:tcPr>
            <w:tcW w:type="dxa" w:w="454"/>
          </w:tcPr>
          <w:p>
            <w:pPr>
              <w:spacing w:after="40"/>
            </w:pPr>
            <w:r/>
            <w:r>
              <w:rPr>
                <w:sz w:val="18"/>
              </w:rPr>
              <w:t>5</w:t>
            </w:r>
          </w:p>
        </w:tc>
        <w:tc>
          <w:tcPr>
            <w:tcW w:type="dxa" w:w="2154"/>
          </w:tcPr>
          <w:p>
            <w:pPr>
              <w:spacing w:after="40"/>
            </w:pPr>
            <w:r/>
            <w:r>
              <w:rPr>
                <w:sz w:val="18"/>
              </w:rPr>
              <w:t>Routine integrity limits are not visibly controlled anywhere current</w:t>
            </w:r>
          </w:p>
        </w:tc>
        <w:tc>
          <w:tcPr>
            <w:tcW w:type="dxa" w:w="3515"/>
          </w:tcPr>
          <w:p>
            <w:pPr>
              <w:spacing w:after="40"/>
            </w:pPr>
            <w:r/>
            <w:r>
              <w:rPr>
                <w:sz w:val="18"/>
              </w:rPr>
              <w:t>Validated values: bubble point NLT 3.45 bar (observed post-exposure 3.69–3.86 bar), diffusive flow NMT 18.0 mL/min at 2.75 bar. AVT-SOP-035 Sterile Filtration Operations is v1.0, effective 2018-01-09, and carries no product-specific limits.</w:t>
            </w:r>
          </w:p>
        </w:tc>
        <w:tc>
          <w:tcPr>
            <w:tcW w:type="dxa" w:w="3402"/>
          </w:tcPr>
          <w:p>
            <w:pPr>
              <w:spacing w:after="40"/>
            </w:pPr>
            <w:r/>
            <w:r>
              <w:rPr>
                <w:sz w:val="18"/>
              </w:rPr>
              <w:t>Be able to name the controlled document that carries the routine pre-use/post-use limits for FT-AVI401-02 (master production record or MES route) and show that it is consistent with the validated values. If it is only in the batch record, say so and show the record.</w:t>
            </w:r>
          </w:p>
        </w:tc>
      </w:tr>
      <w:tr>
        <w:tc>
          <w:tcPr>
            <w:tcW w:type="dxa" w:w="454"/>
          </w:tcPr>
          <w:p>
            <w:pPr>
              <w:spacing w:after="40"/>
            </w:pPr>
            <w:r/>
            <w:r>
              <w:rPr>
                <w:sz w:val="18"/>
              </w:rPr>
              <w:t>6</w:t>
            </w:r>
          </w:p>
        </w:tc>
        <w:tc>
          <w:tcPr>
            <w:tcW w:type="dxa" w:w="2154"/>
          </w:tcPr>
          <w:p>
            <w:pPr>
              <w:spacing w:after="40"/>
            </w:pPr>
            <w:r/>
            <w:r>
              <w:rPr>
                <w:sz w:val="18"/>
              </w:rPr>
              <w:t>Raw-data attachments are referenced but not in the package; only issued copy 003 is present</w:t>
            </w:r>
          </w:p>
        </w:tc>
        <w:tc>
          <w:tcPr>
            <w:tcW w:type="dxa" w:w="3515"/>
          </w:tcPr>
          <w:p>
            <w:pPr>
              <w:spacing w:after="40"/>
            </w:pPr>
            <w:r/>
            <w:r>
              <w:rPr>
                <w:sz w:val="18"/>
              </w:rPr>
              <w:t>The executed retention copy indexes ATT-01 (3 pages), ATT-02 (3 pages) and ATT-03 (2 pages) with the note “originals filed in the validation package; values transcribed on annex pages”. Those originals are not in the folder. All four executed PDFs are image-only scans of “issued copy 003”, with page reconciliations of 12/18, 13/21, 11/16 and 13/19.</w:t>
            </w:r>
          </w:p>
        </w:tc>
        <w:tc>
          <w:tcPr>
            <w:tcW w:type="dxa" w:w="3402"/>
          </w:tcPr>
          <w:p>
            <w:pPr>
              <w:spacing w:after="40"/>
            </w:pPr>
            <w:r/>
            <w:r>
              <w:rPr>
                <w:sz w:val="18"/>
              </w:rPr>
              <w:t>Confirm the physical or DMS location of the original attachments and of the issuance record for copies 001 and 002, and be ready to explain the issued/returned page reconciliation. “Transcribed onto annex pages” invites a request to see the source — have it in the room.</w:t>
            </w:r>
          </w:p>
        </w:tc>
      </w:tr>
      <w:tr>
        <w:tc>
          <w:tcPr>
            <w:tcW w:type="dxa" w:w="454"/>
          </w:tcPr>
          <w:p>
            <w:pPr>
              <w:spacing w:after="40"/>
            </w:pPr>
            <w:r/>
            <w:r>
              <w:rPr>
                <w:sz w:val="18"/>
              </w:rPr>
              <w:t>7</w:t>
            </w:r>
          </w:p>
        </w:tc>
        <w:tc>
          <w:tcPr>
            <w:tcW w:type="dxa" w:w="2154"/>
          </w:tcPr>
          <w:p>
            <w:pPr>
              <w:spacing w:after="40"/>
            </w:pPr>
            <w:r/>
            <w:r>
              <w:rPr>
                <w:sz w:val="18"/>
              </w:rPr>
              <w:t>Procedural references in all four protocols are wrong</w:t>
            </w:r>
          </w:p>
        </w:tc>
        <w:tc>
          <w:tcPr>
            <w:tcW w:type="dxa" w:w="3515"/>
          </w:tcPr>
          <w:p>
            <w:pPr>
              <w:spacing w:after="40"/>
            </w:pPr>
            <w:r/>
            <w:r>
              <w:rPr>
                <w:sz w:val="18"/>
              </w:rPr>
              <w:t>The reference sections cite “AVT-SOP-064 Process Validation” and “AVT-VMP-004 Site Validation Master Plan”. On site, AVT-SOP-064 is Cold Chain Distribution, process validation is AVT-SOP-047 v3.0, and no AVT-VMP-004 exists (validation master planning is SOP-044).</w:t>
            </w:r>
          </w:p>
        </w:tc>
        <w:tc>
          <w:tcPr>
            <w:tcW w:type="dxa" w:w="3402"/>
          </w:tcPr>
          <w:p>
            <w:pPr>
              <w:spacing w:after="40"/>
            </w:pPr>
            <w:r/>
            <w:r>
              <w:rPr>
                <w:sz w:val="18"/>
              </w:rPr>
              <w:t>Low technical weight, high credibility cost, and it appears identically in four approved protocols. Acknowledge it as a correction to be handled through document control; do not attempt to justify the citations.</w:t>
            </w:r>
          </w:p>
        </w:tc>
      </w:tr>
      <w:tr>
        <w:tc>
          <w:tcPr>
            <w:tcW w:type="dxa" w:w="454"/>
          </w:tcPr>
          <w:p>
            <w:pPr>
              <w:spacing w:after="40"/>
            </w:pPr>
            <w:r/>
            <w:r>
              <w:rPr>
                <w:sz w:val="18"/>
              </w:rPr>
              <w:t>8</w:t>
            </w:r>
          </w:p>
        </w:tc>
        <w:tc>
          <w:tcPr>
            <w:tcW w:type="dxa" w:w="2154"/>
          </w:tcPr>
          <w:p>
            <w:pPr>
              <w:spacing w:after="40"/>
            </w:pPr>
            <w:r/>
            <w:r>
              <w:rPr>
                <w:sz w:val="18"/>
              </w:rPr>
              <w:t>Compatibility data may not cover the current impurity profile</w:t>
            </w:r>
          </w:p>
        </w:tc>
        <w:tc>
          <w:tcPr>
            <w:tcW w:type="dxa" w:w="3515"/>
          </w:tcPr>
          <w:p>
            <w:pPr>
              <w:spacing w:after="40"/>
            </w:pPr>
            <w:r/>
            <w:r>
              <w:rPr>
                <w:sz w:val="18"/>
              </w:rPr>
              <w:t>AVT-SPEC-018 v03, effective 2025-01-20, added Impurity B (hydrolysis product) and restated total impurities. AVT-VAL-104 and the container reports report assay, total impurities and pH only; no Impurity B result appears in the package.</w:t>
            </w:r>
          </w:p>
        </w:tc>
        <w:tc>
          <w:tcPr>
            <w:tcW w:type="dxa" w:w="3402"/>
          </w:tcPr>
          <w:p>
            <w:pPr>
              <w:spacing w:after="40"/>
            </w:pPr>
            <w:r/>
            <w:r>
              <w:rPr>
                <w:sz w:val="18"/>
              </w:rPr>
              <w:t>Prepare a short statement on whether the compatibility conclusions remain valid against the current specification, and on what basis (method scope, degradation pathway, stability data). Expect the question because the spec change post-dates the reports by days.</w:t>
            </w:r>
          </w:p>
        </w:tc>
      </w:tr>
      <w:tr>
        <w:tc>
          <w:tcPr>
            <w:tcW w:type="dxa" w:w="454"/>
          </w:tcPr>
          <w:p>
            <w:pPr>
              <w:spacing w:after="40"/>
            </w:pPr>
            <w:r/>
            <w:r>
              <w:rPr>
                <w:sz w:val="18"/>
              </w:rPr>
              <w:t>9</w:t>
            </w:r>
          </w:p>
        </w:tc>
        <w:tc>
          <w:tcPr>
            <w:tcW w:type="dxa" w:w="2154"/>
          </w:tcPr>
          <w:p>
            <w:pPr>
              <w:spacing w:after="40"/>
            </w:pPr>
            <w:r/>
            <w:r>
              <w:rPr>
                <w:sz w:val="18"/>
              </w:rPr>
              <w:t>Lot and presentation identity is inconsistent across records</w:t>
            </w:r>
          </w:p>
        </w:tc>
        <w:tc>
          <w:tcPr>
            <w:tcW w:type="dxa" w:w="3515"/>
          </w:tcPr>
          <w:p>
            <w:pPr>
              <w:spacing w:after="40"/>
            </w:pPr>
            <w:r/>
            <w:r>
              <w:rPr>
                <w:sz w:val="18"/>
              </w:rPr>
              <w:t>The filed 3.2.P.8 leaf lists AVI401-R01 100 mL, R02 100 mL, R03 250 mL. A QC stability working file for the 24-month pull lists R02 as 250 mL and R03 as 500 mL — a presentation that is not in the filed leaf. The same lot identifiers are cited as the filter-validation challenge lots.</w:t>
            </w:r>
          </w:p>
        </w:tc>
        <w:tc>
          <w:tcPr>
            <w:tcW w:type="dxa" w:w="3402"/>
          </w:tcPr>
          <w:p>
            <w:pPr>
              <w:spacing w:after="40"/>
            </w:pPr>
            <w:r/>
            <w:r>
              <w:rPr>
                <w:sz w:val="18"/>
              </w:rPr>
              <w:t>Reconcile lot-to-presentation identity from LIMS/ERP before the session and use one version everywhere. This sits in another owner's ungoverned working file, so it should be raised with QC Stability rather than corrected in place.</w:t>
            </w:r>
          </w:p>
        </w:tc>
      </w:tr>
    </w:tbl>
    <w:p>
      <w:pPr>
        <w:spacing w:after="40"/>
      </w:pPr>
    </w:p>
    <w:p>
      <w:pPr>
        <w:pStyle w:val="Heading1"/>
      </w:pPr>
      <w:r>
        <w:t>6. Tier 3 — housekeeping and posture</w:t>
      </w:r>
    </w:p>
    <w:p>
      <w:pPr>
        <w:pStyle w:val="ListBullet"/>
        <w:spacing w:after="60"/>
      </w:pPr>
      <w:r>
        <w:rPr>
          <w:b/>
        </w:rPr>
        <w:t xml:space="preserve">Repeated data pages. </w:t>
      </w:r>
      <w:r>
        <w:t>AVT-VAL-107 presents the same three-row result table on pages 12, 13 and 14 as “Supporting data review”, each time with the lots in a different order; AVT-VAL-105 does the same across pages 24 to 28 with rolling subsets. The content is consistent, but repeating identical data under different section numbers reads as padding and invites a question about why one data set is presented several times. Be ready to explain it in one sentence.</w:t>
      </w:r>
    </w:p>
    <w:p>
      <w:pPr>
        <w:pStyle w:val="ListBullet"/>
        <w:spacing w:after="60"/>
      </w:pPr>
      <w:r>
        <w:rPr>
          <w:b/>
        </w:rPr>
        <w:t xml:space="preserve">Periodic review. </w:t>
      </w:r>
      <w:r>
        <w:t>The filter reports were approved in December 2024 and January 2025. AVT-SOP-051 v5.0 (effective 2022-04-01) governs requalification and periodic review but does not fix an interval, and v6.0 remains a draft. No periodic review of the filter package was located. Decide the position: either the package is within its review cycle by a stated rule, or a review is scheduled. Do not answer this one improvised.</w:t>
      </w:r>
    </w:p>
    <w:p>
      <w:pPr>
        <w:pStyle w:val="ListBullet"/>
        <w:spacing w:after="60"/>
      </w:pPr>
      <w:r>
        <w:rPr>
          <w:b/>
        </w:rPr>
        <w:t xml:space="preserve">Open change control. </w:t>
      </w:r>
      <w:r>
        <w:t>CC-AVI401-017 (qualify alternate overwrap supplier, MAT-OWR-005) is in technical assessment with technical assessment draft, Quality approval not requested, regulatory assessment not started and implementation not authorised. If asked, the answer is exactly that: assessed, not approved, not implemented, and the current validated configuration CCS-AVI401-02 is unchanged.</w:t>
      </w:r>
    </w:p>
    <w:p>
      <w:pPr>
        <w:pStyle w:val="ListBullet"/>
        <w:spacing w:after="60"/>
      </w:pPr>
      <w:r>
        <w:rPr>
          <w:b/>
        </w:rPr>
        <w:t xml:space="preserve">Supplier change in flight. </w:t>
      </w:r>
      <w:r>
        <w:t>A supplier notification of a resin site-of-manufacture change was received in November 2026; the exact implementation date and confirmation that no released material is affected were still being requested in writing, with the open purchase order on hold. Material or supplier change is the first lifecycle trigger in all four filter reports. Have the current, attributable supplier response available; “nothing has shipped” is a control statement, not evidence.</w:t>
      </w:r>
    </w:p>
    <w:p>
      <w:pPr>
        <w:pStyle w:val="ListBullet"/>
        <w:spacing w:after="60"/>
      </w:pPr>
      <w:r>
        <w:rPr>
          <w:b/>
        </w:rPr>
        <w:t xml:space="preserve">Index and citations. </w:t>
      </w:r>
      <w:r>
        <w:t>The pre-inspection request list asks for the AVI-401 validation package index. AVT-MFG-PCS-012 is the right index to hand over, but note that Regulatory advised citing the current report versions and that the reports in the folder are v01 and v1.0. Confirm the version citations in the outgoing list match what is actually filed before it leaves the site.</w:t>
      </w:r>
    </w:p>
    <w:p>
      <w:pPr>
        <w:pStyle w:val="Heading1"/>
      </w:pPr>
      <w:r>
        <w:t>7. Anticipated questions and holding positions</w:t>
      </w:r>
    </w:p>
    <w:tbl>
      <w:tblPr>
        <w:tblStyle w:val="TableGrid"/>
        <w:tblW w:type="auto" w:w="0"/>
        <w:jc w:val="center"/>
        <w:tblLook w:firstColumn="1" w:firstRow="1" w:lastColumn="0" w:lastRow="0" w:noHBand="0" w:noVBand="1" w:val="04A0"/>
      </w:tblPr>
      <w:tblGrid>
        <w:gridCol w:w="4929"/>
        <w:gridCol w:w="4929"/>
      </w:tblGrid>
      <w:tr>
        <w:tc>
          <w:tcPr>
            <w:tcW w:type="dxa" w:w="3402"/>
            <w:shd w:val="clear" w:fill="1F3A5F"/>
          </w:tcPr>
          <w:p>
            <w:pPr>
              <w:spacing w:after="40"/>
            </w:pPr>
            <w:r/>
            <w:r>
              <w:rPr>
                <w:b/>
                <w:color w:val="FFFFFF"/>
                <w:sz w:val="18"/>
              </w:rPr>
              <w:t>Likely question</w:t>
            </w:r>
          </w:p>
        </w:tc>
        <w:tc>
          <w:tcPr>
            <w:tcW w:type="dxa" w:w="6123"/>
            <w:shd w:val="clear" w:fill="1F3A5F"/>
          </w:tcPr>
          <w:p>
            <w:pPr>
              <w:spacing w:after="40"/>
            </w:pPr>
            <w:r/>
            <w:r>
              <w:rPr>
                <w:b/>
                <w:color w:val="FFFFFF"/>
                <w:sz w:val="18"/>
              </w:rPr>
              <w:t>Holding position (verify each underlined fact before use)</w:t>
            </w:r>
          </w:p>
        </w:tc>
      </w:tr>
      <w:tr>
        <w:tc>
          <w:tcPr>
            <w:tcW w:type="dxa" w:w="3402"/>
          </w:tcPr>
          <w:p>
            <w:pPr>
              <w:spacing w:after="40"/>
            </w:pPr>
            <w:r/>
            <w:r>
              <w:rPr>
                <w:sz w:val="18"/>
              </w:rPr>
              <w:t>Show me the change control that governs the filter validation.</w:t>
            </w:r>
          </w:p>
        </w:tc>
        <w:tc>
          <w:tcPr>
            <w:tcW w:type="dxa" w:w="6123"/>
          </w:tcPr>
          <w:p>
            <w:pPr>
              <w:spacing w:after="40"/>
            </w:pPr>
            <w:r/>
            <w:r>
              <w:rPr>
                <w:sz w:val="18"/>
              </w:rPr>
              <w:t>Name the record only once CC-2024-011 has been located. If it does not exist, state that the protocols contain an incorrect reference, identify the actual governing change record, and confirm that the reference correction is being handled through document control.</w:t>
            </w:r>
          </w:p>
        </w:tc>
      </w:tr>
      <w:tr>
        <w:tc>
          <w:tcPr>
            <w:tcW w:type="dxa" w:w="3402"/>
          </w:tcPr>
          <w:p>
            <w:pPr>
              <w:spacing w:after="40"/>
            </w:pPr>
            <w:r/>
            <w:r>
              <w:rPr>
                <w:sz w:val="18"/>
              </w:rPr>
              <w:t>Which product batches were used to challenge the filter, and what was their release status?</w:t>
            </w:r>
          </w:p>
        </w:tc>
        <w:tc>
          <w:tcPr>
            <w:tcW w:type="dxa" w:w="6123"/>
          </w:tcPr>
          <w:p>
            <w:pPr>
              <w:spacing w:after="40"/>
            </w:pPr>
            <w:r/>
            <w:r>
              <w:rPr>
                <w:sz w:val="18"/>
              </w:rPr>
              <w:t>Give the actual batch identity and release evidence from the source systems. If the identifiers in the protocols were later reassigned to the registration lots, explain the reassignment and show the mapping. Do not read the protocol table as though it referred to the registration lots.</w:t>
            </w:r>
          </w:p>
        </w:tc>
      </w:tr>
      <w:tr>
        <w:tc>
          <w:tcPr>
            <w:tcW w:type="dxa" w:w="3402"/>
          </w:tcPr>
          <w:p>
            <w:pPr>
              <w:spacing w:after="40"/>
            </w:pPr>
            <w:r/>
            <w:r>
              <w:rPr>
                <w:sz w:val="18"/>
              </w:rPr>
              <w:t>How do 47 mm disc results translate to the production cartridge?</w:t>
            </w:r>
          </w:p>
        </w:tc>
        <w:tc>
          <w:tcPr>
            <w:tcW w:type="dxa" w:w="6123"/>
          </w:tcPr>
          <w:p>
            <w:pPr>
              <w:spacing w:after="40"/>
            </w:pPr>
            <w:r/>
            <w:r>
              <w:rPr>
                <w:sz w:val="18"/>
              </w:rPr>
              <w:t>Present the scaling basis on one page: effective areas, filters per batch, batch volume, maximum daily dose, and the resulting per-patient exposure with the assumptions named. State plainly that the disc study is the qualification vehicle and identify the document that justifies the scaling.</w:t>
            </w:r>
          </w:p>
        </w:tc>
      </w:tr>
      <w:tr>
        <w:tc>
          <w:tcPr>
            <w:tcW w:type="dxa" w:w="3402"/>
          </w:tcPr>
          <w:p>
            <w:pPr>
              <w:spacing w:after="40"/>
            </w:pPr>
            <w:r/>
            <w:r>
              <w:rPr>
                <w:sz w:val="18"/>
              </w:rPr>
              <w:t>Show the qualification and calibration status of every asset used in the retention study.</w:t>
            </w:r>
          </w:p>
        </w:tc>
        <w:tc>
          <w:tcPr>
            <w:tcW w:type="dxa" w:w="6123"/>
          </w:tcPr>
          <w:p>
            <w:pPr>
              <w:spacing w:after="40"/>
            </w:pPr>
            <w:r/>
            <w:r>
              <w:rPr>
                <w:sz w:val="18"/>
              </w:rPr>
              <w:t>FIT-01, GC-01, HPLC-02 and the incubator. Bring the certificates rather than the protocol table, and flag the transcription defect yourself before it is found.</w:t>
            </w:r>
          </w:p>
        </w:tc>
      </w:tr>
      <w:tr>
        <w:tc>
          <w:tcPr>
            <w:tcW w:type="dxa" w:w="3402"/>
          </w:tcPr>
          <w:p>
            <w:pPr>
              <w:spacing w:after="40"/>
            </w:pPr>
            <w:r/>
            <w:r>
              <w:rPr>
                <w:sz w:val="18"/>
              </w:rPr>
              <w:t>Which autoclave cycle sterilised the filters, and where is that cycle validated?</w:t>
            </w:r>
          </w:p>
        </w:tc>
        <w:tc>
          <w:tcPr>
            <w:tcW w:type="dxa" w:w="6123"/>
          </w:tcPr>
          <w:p>
            <w:pPr>
              <w:spacing w:after="40"/>
            </w:pPr>
            <w:r/>
            <w:r>
              <w:rPr>
                <w:sz w:val="18"/>
              </w:rPr>
              <w:t>Identify the asset and the cycle-validation record. If the record sits outside this package, add it to the index rather than describing it verbally.</w:t>
            </w:r>
          </w:p>
        </w:tc>
      </w:tr>
      <w:tr>
        <w:tc>
          <w:tcPr>
            <w:tcW w:type="dxa" w:w="3402"/>
          </w:tcPr>
          <w:p>
            <w:pPr>
              <w:spacing w:after="40"/>
            </w:pPr>
            <w:r/>
            <w:r>
              <w:rPr>
                <w:sz w:val="18"/>
              </w:rPr>
              <w:t>The container-system reports contain the same numbers. Explain.</w:t>
            </w:r>
          </w:p>
        </w:tc>
        <w:tc>
          <w:tcPr>
            <w:tcW w:type="dxa" w:w="6123"/>
          </w:tcPr>
          <w:p>
            <w:pPr>
              <w:spacing w:after="40"/>
            </w:pPr>
            <w:r/>
            <w:r>
              <w:rPr>
                <w:sz w:val="18"/>
              </w:rPr>
              <w:t>Do not improvise. Commit to a written response and open the internal record the same day. If the container system is not on the agenda, do not raise it.</w:t>
            </w:r>
          </w:p>
        </w:tc>
      </w:tr>
      <w:tr>
        <w:tc>
          <w:tcPr>
            <w:tcW w:type="dxa" w:w="3402"/>
          </w:tcPr>
          <w:p>
            <w:pPr>
              <w:spacing w:after="40"/>
            </w:pPr>
            <w:r/>
            <w:r>
              <w:rPr>
                <w:sz w:val="18"/>
              </w:rPr>
              <w:t>Where are the original raw-data attachments referenced by the executed protocols?</w:t>
            </w:r>
          </w:p>
        </w:tc>
        <w:tc>
          <w:tcPr>
            <w:tcW w:type="dxa" w:w="6123"/>
          </w:tcPr>
          <w:p>
            <w:pPr>
              <w:spacing w:after="40"/>
            </w:pPr>
            <w:r/>
            <w:r>
              <w:rPr>
                <w:sz w:val="18"/>
              </w:rPr>
              <w:t>State the retention location and produce ATT-01 to ATT-03 for AVT-VAL-107 as the worked example, together with the issued-copy reconciliation.</w:t>
            </w:r>
          </w:p>
        </w:tc>
      </w:tr>
      <w:tr>
        <w:tc>
          <w:tcPr>
            <w:tcW w:type="dxa" w:w="3402"/>
          </w:tcPr>
          <w:p>
            <w:pPr>
              <w:spacing w:after="40"/>
            </w:pPr>
            <w:r/>
            <w:r>
              <w:rPr>
                <w:sz w:val="18"/>
              </w:rPr>
              <w:t>Is the validated state still current, given the open supplier and overwrap changes?</w:t>
            </w:r>
          </w:p>
        </w:tc>
        <w:tc>
          <w:tcPr>
            <w:tcW w:type="dxa" w:w="6123"/>
          </w:tcPr>
          <w:p>
            <w:pPr>
              <w:spacing w:after="40"/>
            </w:pPr>
            <w:r/>
            <w:r>
              <w:rPr>
                <w:sz w:val="18"/>
              </w:rPr>
              <w:t>Yes for the configuration in AVT-MFG-PCS-012: AVI401-PROC-v04, FT-AVI401-02, CCS-AVI401-02. Both changes are under assessment and neither is authorised for implementation. Show the change records, not the correspondence.</w:t>
            </w:r>
          </w:p>
        </w:tc>
      </w:tr>
    </w:tbl>
    <w:p>
      <w:pPr>
        <w:spacing w:after="40"/>
      </w:pPr>
    </w:p>
    <w:p>
      <w:pPr>
        <w:pStyle w:val="Heading1"/>
      </w:pPr>
      <w:r>
        <w:t>8. Actions proposed before the working session</w:t>
      </w:r>
    </w:p>
    <w:p>
      <w:r>
        <w:rPr>
          <w:b w:val="0"/>
          <w:i/>
          <w:sz w:val="18"/>
        </w:rPr>
        <w:t>Owners below are suggested by function, not assigned. Each action needs to land in the governing quality record; a working file cannot carry it.</w:t>
      </w:r>
    </w:p>
    <w:tbl>
      <w:tblPr>
        <w:tblStyle w:val="TableGrid"/>
        <w:tblW w:type="auto" w:w="0"/>
        <w:jc w:val="center"/>
        <w:tblLook w:firstColumn="1" w:firstRow="1" w:lastColumn="0" w:lastRow="0" w:noHBand="0" w:noVBand="1" w:val="04A0"/>
      </w:tblPr>
      <w:tblGrid>
        <w:gridCol w:w="2464"/>
        <w:gridCol w:w="2464"/>
        <w:gridCol w:w="2464"/>
        <w:gridCol w:w="2464"/>
      </w:tblGrid>
      <w:tr>
        <w:tc>
          <w:tcPr>
            <w:tcW w:type="dxa" w:w="510"/>
            <w:shd w:val="clear" w:fill="1F3A5F"/>
          </w:tcPr>
          <w:p>
            <w:pPr>
              <w:spacing w:after="40"/>
            </w:pPr>
            <w:r/>
            <w:r>
              <w:rPr>
                <w:b/>
                <w:color w:val="FFFFFF"/>
                <w:sz w:val="18"/>
              </w:rPr>
              <w:t>#</w:t>
            </w:r>
          </w:p>
        </w:tc>
        <w:tc>
          <w:tcPr>
            <w:tcW w:type="dxa" w:w="4535"/>
            <w:shd w:val="clear" w:fill="1F3A5F"/>
          </w:tcPr>
          <w:p>
            <w:pPr>
              <w:spacing w:after="40"/>
            </w:pPr>
            <w:r/>
            <w:r>
              <w:rPr>
                <w:b/>
                <w:color w:val="FFFFFF"/>
                <w:sz w:val="18"/>
              </w:rPr>
              <w:t>Action</w:t>
            </w:r>
          </w:p>
        </w:tc>
        <w:tc>
          <w:tcPr>
            <w:tcW w:type="dxa" w:w="1871"/>
            <w:shd w:val="clear" w:fill="1F3A5F"/>
          </w:tcPr>
          <w:p>
            <w:pPr>
              <w:spacing w:after="40"/>
            </w:pPr>
            <w:r/>
            <w:r>
              <w:rPr>
                <w:b/>
                <w:color w:val="FFFFFF"/>
                <w:sz w:val="18"/>
              </w:rPr>
              <w:t>Suggested owner</w:t>
            </w:r>
          </w:p>
        </w:tc>
        <w:tc>
          <w:tcPr>
            <w:tcW w:type="dxa" w:w="2608"/>
            <w:shd w:val="clear" w:fill="1F3A5F"/>
          </w:tcPr>
          <w:p>
            <w:pPr>
              <w:spacing w:after="40"/>
            </w:pPr>
            <w:r/>
            <w:r>
              <w:rPr>
                <w:b/>
                <w:color w:val="FFFFFF"/>
                <w:sz w:val="18"/>
              </w:rPr>
              <w:t>Why it is a pre-session item</w:t>
            </w:r>
          </w:p>
        </w:tc>
      </w:tr>
      <w:tr>
        <w:tc>
          <w:tcPr>
            <w:tcW w:type="dxa" w:w="510"/>
          </w:tcPr>
          <w:p>
            <w:pPr>
              <w:spacing w:after="40"/>
            </w:pPr>
            <w:r/>
            <w:r>
              <w:rPr>
                <w:sz w:val="18"/>
              </w:rPr>
              <w:t>A1</w:t>
            </w:r>
          </w:p>
        </w:tc>
        <w:tc>
          <w:tcPr>
            <w:tcW w:type="dxa" w:w="4535"/>
          </w:tcPr>
          <w:p>
            <w:pPr>
              <w:spacing w:after="40"/>
            </w:pPr>
            <w:r/>
            <w:r>
              <w:rPr>
                <w:sz w:val="18"/>
              </w:rPr>
              <w:t>Reconcile the identity and release status of the product used in the October–November 2024 filter executions against the lot identifiers in the protocols, and produce one written reconciliation statement.</w:t>
            </w:r>
          </w:p>
        </w:tc>
        <w:tc>
          <w:tcPr>
            <w:tcW w:type="dxa" w:w="1871"/>
          </w:tcPr>
          <w:p>
            <w:pPr>
              <w:spacing w:after="40"/>
            </w:pPr>
            <w:r/>
            <w:r>
              <w:rPr>
                <w:sz w:val="18"/>
              </w:rPr>
              <w:t>Validation with MSAT and QC</w:t>
            </w:r>
          </w:p>
        </w:tc>
        <w:tc>
          <w:tcPr>
            <w:tcW w:type="dxa" w:w="2608"/>
          </w:tcPr>
          <w:p>
            <w:pPr>
              <w:spacing w:after="40"/>
            </w:pPr>
            <w:r/>
            <w:r>
              <w:rPr>
                <w:sz w:val="18"/>
              </w:rPr>
              <w:t>Verifiable against the filed 3.2.P.8 leaf by anyone in the room.</w:t>
            </w:r>
          </w:p>
        </w:tc>
      </w:tr>
      <w:tr>
        <w:tc>
          <w:tcPr>
            <w:tcW w:type="dxa" w:w="510"/>
          </w:tcPr>
          <w:p>
            <w:pPr>
              <w:spacing w:after="40"/>
            </w:pPr>
            <w:r/>
            <w:r>
              <w:rPr>
                <w:sz w:val="18"/>
              </w:rPr>
              <w:t>A2</w:t>
            </w:r>
          </w:p>
        </w:tc>
        <w:tc>
          <w:tcPr>
            <w:tcW w:type="dxa" w:w="4535"/>
          </w:tcPr>
          <w:p>
            <w:pPr>
              <w:spacing w:after="40"/>
            </w:pPr>
            <w:r/>
            <w:r>
              <w:rPr>
                <w:sz w:val="18"/>
              </w:rPr>
              <w:t>Confirm the existence and identity of CC-2024-011, or identify the actual governing change record and initiate the reference correction.</w:t>
            </w:r>
          </w:p>
        </w:tc>
        <w:tc>
          <w:tcPr>
            <w:tcW w:type="dxa" w:w="1871"/>
          </w:tcPr>
          <w:p>
            <w:pPr>
              <w:spacing w:after="40"/>
            </w:pPr>
            <w:r/>
            <w:r>
              <w:rPr>
                <w:sz w:val="18"/>
              </w:rPr>
              <w:t>Validation with QA</w:t>
            </w:r>
          </w:p>
        </w:tc>
        <w:tc>
          <w:tcPr>
            <w:tcW w:type="dxa" w:w="2608"/>
          </w:tcPr>
          <w:p>
            <w:pPr>
              <w:spacing w:after="40"/>
            </w:pPr>
            <w:r/>
            <w:r>
              <w:rPr>
                <w:sz w:val="18"/>
              </w:rPr>
              <w:t>First document request when a protocol names its change control.</w:t>
            </w:r>
          </w:p>
        </w:tc>
      </w:tr>
      <w:tr>
        <w:tc>
          <w:tcPr>
            <w:tcW w:type="dxa" w:w="510"/>
          </w:tcPr>
          <w:p>
            <w:pPr>
              <w:spacing w:after="40"/>
            </w:pPr>
            <w:r/>
            <w:r>
              <w:rPr>
                <w:sz w:val="18"/>
              </w:rPr>
              <w:t>A3</w:t>
            </w:r>
          </w:p>
        </w:tc>
        <w:tc>
          <w:tcPr>
            <w:tcW w:type="dxa" w:w="4535"/>
          </w:tcPr>
          <w:p>
            <w:pPr>
              <w:spacing w:after="40"/>
            </w:pPr>
            <w:r/>
            <w:r>
              <w:rPr>
                <w:sz w:val="18"/>
              </w:rPr>
              <w:t>Produce the disc-to-cartridge scaling and exposure derivation for AVT-VAL-105 on a single page, with assumptions stated, and identify the document that justifies disc-scale retention for the production cartridge.</w:t>
            </w:r>
          </w:p>
        </w:tc>
        <w:tc>
          <w:tcPr>
            <w:tcW w:type="dxa" w:w="1871"/>
          </w:tcPr>
          <w:p>
            <w:pPr>
              <w:spacing w:after="40"/>
            </w:pPr>
            <w:r/>
            <w:r>
              <w:rPr>
                <w:sz w:val="18"/>
              </w:rPr>
              <w:t>MSAT with Validation</w:t>
            </w:r>
          </w:p>
        </w:tc>
        <w:tc>
          <w:tcPr>
            <w:tcW w:type="dxa" w:w="2608"/>
          </w:tcPr>
          <w:p>
            <w:pPr>
              <w:spacing w:after="40"/>
            </w:pPr>
            <w:r/>
            <w:r>
              <w:rPr>
                <w:sz w:val="18"/>
              </w:rPr>
              <w:t>The E&amp;L margins cannot currently be reproduced by a reader.</w:t>
            </w:r>
          </w:p>
        </w:tc>
      </w:tr>
      <w:tr>
        <w:tc>
          <w:tcPr>
            <w:tcW w:type="dxa" w:w="510"/>
          </w:tcPr>
          <w:p>
            <w:pPr>
              <w:spacing w:after="40"/>
            </w:pPr>
            <w:r/>
            <w:r>
              <w:rPr>
                <w:sz w:val="18"/>
              </w:rPr>
              <w:t>A4</w:t>
            </w:r>
          </w:p>
        </w:tc>
        <w:tc>
          <w:tcPr>
            <w:tcW w:type="dxa" w:w="4535"/>
          </w:tcPr>
          <w:p>
            <w:pPr>
              <w:spacing w:after="40"/>
            </w:pPr>
            <w:r/>
            <w:r>
              <w:rPr>
                <w:sz w:val="18"/>
              </w:rPr>
              <w:t>Locate the qualification and calibration history for incubator INC-03, or document the identifier mapping to a qualified asset.</w:t>
            </w:r>
          </w:p>
        </w:tc>
        <w:tc>
          <w:tcPr>
            <w:tcW w:type="dxa" w:w="1871"/>
          </w:tcPr>
          <w:p>
            <w:pPr>
              <w:spacing w:after="40"/>
            </w:pPr>
            <w:r/>
            <w:r>
              <w:rPr>
                <w:sz w:val="18"/>
              </w:rPr>
              <w:t>Validation with Engineering and Microbiology</w:t>
            </w:r>
          </w:p>
        </w:tc>
        <w:tc>
          <w:tcPr>
            <w:tcW w:type="dxa" w:w="2608"/>
          </w:tcPr>
          <w:p>
            <w:pPr>
              <w:spacing w:after="40"/>
            </w:pPr>
            <w:r/>
            <w:r>
              <w:rPr>
                <w:sz w:val="18"/>
              </w:rPr>
              <w:t>The retention conclusion depends on recovery counts from this unit.</w:t>
            </w:r>
          </w:p>
        </w:tc>
      </w:tr>
      <w:tr>
        <w:tc>
          <w:tcPr>
            <w:tcW w:type="dxa" w:w="510"/>
          </w:tcPr>
          <w:p>
            <w:pPr>
              <w:spacing w:after="40"/>
            </w:pPr>
            <w:r/>
            <w:r>
              <w:rPr>
                <w:sz w:val="18"/>
              </w:rPr>
              <w:t>A5</w:t>
            </w:r>
          </w:p>
        </w:tc>
        <w:tc>
          <w:tcPr>
            <w:tcW w:type="dxa" w:w="4535"/>
          </w:tcPr>
          <w:p>
            <w:pPr>
              <w:spacing w:after="40"/>
            </w:pPr>
            <w:r/>
            <w:r>
              <w:rPr>
                <w:sz w:val="18"/>
              </w:rPr>
              <w:t>Establish from the native records whether AVT-VAL-201, -202 and -203 each have a distinct protocol, executed copy and study-specific data set; if not, raise it through the quality system before the session.</w:t>
            </w:r>
          </w:p>
        </w:tc>
        <w:tc>
          <w:tcPr>
            <w:tcW w:type="dxa" w:w="1871"/>
          </w:tcPr>
          <w:p>
            <w:pPr>
              <w:spacing w:after="40"/>
            </w:pPr>
            <w:r/>
            <w:r>
              <w:rPr>
                <w:sz w:val="18"/>
              </w:rPr>
              <w:t>QA with Validation</w:t>
            </w:r>
          </w:p>
        </w:tc>
        <w:tc>
          <w:tcPr>
            <w:tcW w:type="dxa" w:w="2608"/>
          </w:tcPr>
          <w:p>
            <w:pPr>
              <w:spacing w:after="40"/>
            </w:pPr>
            <w:r/>
            <w:r>
              <w:rPr>
                <w:sz w:val="18"/>
              </w:rPr>
              <w:t>Three approved reports currently present the same data and the same deviations.</w:t>
            </w:r>
          </w:p>
        </w:tc>
      </w:tr>
      <w:tr>
        <w:tc>
          <w:tcPr>
            <w:tcW w:type="dxa" w:w="510"/>
          </w:tcPr>
          <w:p>
            <w:pPr>
              <w:spacing w:after="40"/>
            </w:pPr>
            <w:r/>
            <w:r>
              <w:rPr>
                <w:sz w:val="18"/>
              </w:rPr>
              <w:t>A6</w:t>
            </w:r>
          </w:p>
        </w:tc>
        <w:tc>
          <w:tcPr>
            <w:tcW w:type="dxa" w:w="4535"/>
          </w:tcPr>
          <w:p>
            <w:pPr>
              <w:spacing w:after="40"/>
            </w:pPr>
            <w:r/>
            <w:r>
              <w:rPr>
                <w:sz w:val="18"/>
              </w:rPr>
              <w:t>Retrieve LAB-2025-114 (or its correct identifier) and confirm its date and scope relative to the 2025-01-16 report approvals.</w:t>
            </w:r>
          </w:p>
        </w:tc>
        <w:tc>
          <w:tcPr>
            <w:tcW w:type="dxa" w:w="1871"/>
          </w:tcPr>
          <w:p>
            <w:pPr>
              <w:spacing w:after="40"/>
            </w:pPr>
            <w:r/>
            <w:r>
              <w:rPr>
                <w:sz w:val="18"/>
              </w:rPr>
              <w:t>QC with QA</w:t>
            </w:r>
          </w:p>
        </w:tc>
        <w:tc>
          <w:tcPr>
            <w:tcW w:type="dxa" w:w="2608"/>
          </w:tcPr>
          <w:p>
            <w:pPr>
              <w:spacing w:after="40"/>
            </w:pPr>
            <w:r/>
            <w:r>
              <w:rPr>
                <w:sz w:val="18"/>
              </w:rPr>
              <w:t>Cited in three approved reports; not retrievable and outside the site numbering convention.</w:t>
            </w:r>
          </w:p>
        </w:tc>
      </w:tr>
      <w:tr>
        <w:tc>
          <w:tcPr>
            <w:tcW w:type="dxa" w:w="510"/>
          </w:tcPr>
          <w:p>
            <w:pPr>
              <w:spacing w:after="40"/>
            </w:pPr>
            <w:r/>
            <w:r>
              <w:rPr>
                <w:sz w:val="18"/>
              </w:rPr>
              <w:t>A7</w:t>
            </w:r>
          </w:p>
        </w:tc>
        <w:tc>
          <w:tcPr>
            <w:tcW w:type="dxa" w:w="4535"/>
          </w:tcPr>
          <w:p>
            <w:pPr>
              <w:spacing w:after="40"/>
            </w:pPr>
            <w:r/>
            <w:r>
              <w:rPr>
                <w:sz w:val="18"/>
              </w:rPr>
              <w:t>Assemble the calibration certificates for FIT-01, GC-01 and HPLC-02 covering the execution windows, and note the protocol transcription defects in the session pack.</w:t>
            </w:r>
          </w:p>
        </w:tc>
        <w:tc>
          <w:tcPr>
            <w:tcW w:type="dxa" w:w="1871"/>
          </w:tcPr>
          <w:p>
            <w:pPr>
              <w:spacing w:after="40"/>
            </w:pPr>
            <w:r/>
            <w:r>
              <w:rPr>
                <w:sz w:val="18"/>
              </w:rPr>
              <w:t>Validation with Engineering</w:t>
            </w:r>
          </w:p>
        </w:tc>
        <w:tc>
          <w:tcPr>
            <w:tcW w:type="dxa" w:w="2608"/>
          </w:tcPr>
          <w:p>
            <w:pPr>
              <w:spacing w:after="40"/>
            </w:pPr>
            <w:r/>
            <w:r>
              <w:rPr>
                <w:sz w:val="18"/>
              </w:rPr>
              <w:t>Concede small defects on our own terms rather than under questioning.</w:t>
            </w:r>
          </w:p>
        </w:tc>
      </w:tr>
      <w:tr>
        <w:tc>
          <w:tcPr>
            <w:tcW w:type="dxa" w:w="510"/>
          </w:tcPr>
          <w:p>
            <w:pPr>
              <w:spacing w:after="40"/>
            </w:pPr>
            <w:r/>
            <w:r>
              <w:rPr>
                <w:sz w:val="18"/>
              </w:rPr>
              <w:t>A8</w:t>
            </w:r>
          </w:p>
        </w:tc>
        <w:tc>
          <w:tcPr>
            <w:tcW w:type="dxa" w:w="4535"/>
          </w:tcPr>
          <w:p>
            <w:pPr>
              <w:spacing w:after="40"/>
            </w:pPr>
            <w:r/>
            <w:r>
              <w:rPr>
                <w:sz w:val="18"/>
              </w:rPr>
              <w:t>Identify the autoclave asset and the cycle-validation record for filter sterilisation and add both to the AVT-MFG-PCS-012 index.</w:t>
            </w:r>
          </w:p>
        </w:tc>
        <w:tc>
          <w:tcPr>
            <w:tcW w:type="dxa" w:w="1871"/>
          </w:tcPr>
          <w:p>
            <w:pPr>
              <w:spacing w:after="40"/>
            </w:pPr>
            <w:r/>
            <w:r>
              <w:rPr>
                <w:sz w:val="18"/>
              </w:rPr>
              <w:t>Validation with Manufacturing</w:t>
            </w:r>
          </w:p>
        </w:tc>
        <w:tc>
          <w:tcPr>
            <w:tcW w:type="dxa" w:w="2608"/>
          </w:tcPr>
          <w:p>
            <w:pPr>
              <w:spacing w:after="40"/>
            </w:pPr>
            <w:r/>
            <w:r>
              <w:rPr>
                <w:sz w:val="18"/>
              </w:rPr>
              <w:t>The worst-case basis of all four studies rests on this cycle.</w:t>
            </w:r>
          </w:p>
        </w:tc>
      </w:tr>
      <w:tr>
        <w:tc>
          <w:tcPr>
            <w:tcW w:type="dxa" w:w="510"/>
          </w:tcPr>
          <w:p>
            <w:pPr>
              <w:spacing w:after="40"/>
            </w:pPr>
            <w:r/>
            <w:r>
              <w:rPr>
                <w:sz w:val="18"/>
              </w:rPr>
              <w:t>A9</w:t>
            </w:r>
          </w:p>
        </w:tc>
        <w:tc>
          <w:tcPr>
            <w:tcW w:type="dxa" w:w="4535"/>
          </w:tcPr>
          <w:p>
            <w:pPr>
              <w:spacing w:after="40"/>
            </w:pPr>
            <w:r/>
            <w:r>
              <w:rPr>
                <w:sz w:val="18"/>
              </w:rPr>
              <w:t>Name the controlled document that carries the routine pre-use/post-use integrity limits for FT-AVI401-02 and confirm consistency with the validated values.</w:t>
            </w:r>
          </w:p>
        </w:tc>
        <w:tc>
          <w:tcPr>
            <w:tcW w:type="dxa" w:w="1871"/>
          </w:tcPr>
          <w:p>
            <w:pPr>
              <w:spacing w:after="40"/>
            </w:pPr>
            <w:r/>
            <w:r>
              <w:rPr>
                <w:sz w:val="18"/>
              </w:rPr>
              <w:t>Manufacturing with Validation</w:t>
            </w:r>
          </w:p>
        </w:tc>
        <w:tc>
          <w:tcPr>
            <w:tcW w:type="dxa" w:w="2608"/>
          </w:tcPr>
          <w:p>
            <w:pPr>
              <w:spacing w:after="40"/>
            </w:pPr>
            <w:r/>
            <w:r>
              <w:rPr>
                <w:sz w:val="18"/>
              </w:rPr>
              <w:t>Validated limits must be shown to be operative, not only reported.</w:t>
            </w:r>
          </w:p>
        </w:tc>
      </w:tr>
      <w:tr>
        <w:tc>
          <w:tcPr>
            <w:tcW w:type="dxa" w:w="510"/>
          </w:tcPr>
          <w:p>
            <w:pPr>
              <w:spacing w:after="40"/>
            </w:pPr>
            <w:r/>
            <w:r>
              <w:rPr>
                <w:sz w:val="18"/>
              </w:rPr>
              <w:t>A10</w:t>
            </w:r>
          </w:p>
        </w:tc>
        <w:tc>
          <w:tcPr>
            <w:tcW w:type="dxa" w:w="4535"/>
          </w:tcPr>
          <w:p>
            <w:pPr>
              <w:spacing w:after="40"/>
            </w:pPr>
            <w:r/>
            <w:r>
              <w:rPr>
                <w:sz w:val="18"/>
              </w:rPr>
              <w:t>Confirm the position on periodic review of the filter package under AVT-SOP-051 v5.0 and, if a review is due, schedule it before the session rather than during it.</w:t>
            </w:r>
          </w:p>
        </w:tc>
        <w:tc>
          <w:tcPr>
            <w:tcW w:type="dxa" w:w="1871"/>
          </w:tcPr>
          <w:p>
            <w:pPr>
              <w:spacing w:after="40"/>
            </w:pPr>
            <w:r/>
            <w:r>
              <w:rPr>
                <w:sz w:val="18"/>
              </w:rPr>
              <w:t>Validation</w:t>
            </w:r>
          </w:p>
        </w:tc>
        <w:tc>
          <w:tcPr>
            <w:tcW w:type="dxa" w:w="2608"/>
          </w:tcPr>
          <w:p>
            <w:pPr>
              <w:spacing w:after="40"/>
            </w:pPr>
            <w:r/>
            <w:r>
              <w:rPr>
                <w:sz w:val="18"/>
              </w:rPr>
              <w:t>An improvised answer here reads as an uncontrolled lifecycle.</w:t>
            </w:r>
          </w:p>
        </w:tc>
      </w:tr>
      <w:tr>
        <w:tc>
          <w:tcPr>
            <w:tcW w:type="dxa" w:w="510"/>
          </w:tcPr>
          <w:p>
            <w:pPr>
              <w:spacing w:after="40"/>
            </w:pPr>
            <w:r/>
            <w:r>
              <w:rPr>
                <w:sz w:val="18"/>
              </w:rPr>
              <w:t>A11</w:t>
            </w:r>
          </w:p>
        </w:tc>
        <w:tc>
          <w:tcPr>
            <w:tcW w:type="dxa" w:w="4535"/>
          </w:tcPr>
          <w:p>
            <w:pPr>
              <w:spacing w:after="40"/>
            </w:pPr>
            <w:r/>
            <w:r>
              <w:rPr>
                <w:sz w:val="18"/>
              </w:rPr>
              <w:t>Confirm that the version citations in the outgoing inspection document request list match the reports as filed.</w:t>
            </w:r>
          </w:p>
        </w:tc>
        <w:tc>
          <w:tcPr>
            <w:tcW w:type="dxa" w:w="1871"/>
          </w:tcPr>
          <w:p>
            <w:pPr>
              <w:spacing w:after="40"/>
            </w:pPr>
            <w:r/>
            <w:r>
              <w:rPr>
                <w:sz w:val="18"/>
              </w:rPr>
              <w:t>Regulatory CMC with QA</w:t>
            </w:r>
          </w:p>
        </w:tc>
        <w:tc>
          <w:tcPr>
            <w:tcW w:type="dxa" w:w="2608"/>
          </w:tcPr>
          <w:p>
            <w:pPr>
              <w:spacing w:after="40"/>
            </w:pPr>
            <w:r/>
            <w:r>
              <w:rPr>
                <w:sz w:val="18"/>
              </w:rPr>
              <w:t>The list is already being compiled and leaves the site as a controlled statement.</w:t>
            </w:r>
          </w:p>
        </w:tc>
      </w:tr>
    </w:tbl>
    <w:p>
      <w:pPr>
        <w:spacing w:after="40"/>
      </w:pPr>
    </w:p>
    <w:p>
      <w:pPr>
        <w:pStyle w:val="Heading1"/>
      </w:pPr>
      <w:r>
        <w:t>9. Records examined</w:t>
      </w:r>
    </w:p>
    <w:p>
      <w:r>
        <w:rPr>
          <w:b w:val="0"/>
          <w:i w:val="0"/>
          <w:sz w:val="19"/>
        </w:rPr>
        <w:t>Validation/AVI-401 Filter and Container: AVT-VAL-104, -105, -106, -107 (reports); AVT-VAL-104-P, -105-P, -106-P, -107-P v01 (protocols, PDF and DOCX); executed issued copy 003 for each of the four protocols; AVT-VAL-201, -202, -203 (container-system reports).</w:t>
      </w:r>
    </w:p>
    <w:p>
      <w:r>
        <w:rPr>
          <w:b w:val="0"/>
          <w:i w:val="0"/>
          <w:sz w:val="19"/>
        </w:rPr>
        <w:t>Cross-referenced: AVT-MFG-PCS-012 Filter Train and Container-System Control Summary; AVT-SPEC-018 v03 AVI-401 release and stability specification; Regulatory/Dossier/APP-CN-AVI401-001 sequence 0003, 3.2.P.8 Stability Summary (AVT-CMC-038 v03); Quality Change Control Register and the 2024 change-control folder; CC-AVI401-017 change status; Quality Deviation and CAPA Register; Quality/Laboratory Investigations; Engineering equipment files for FIT-01, GC-01, HPLC-02, INC-01, INC-02, AUT-01, AUT-02 including calibration certificates KES-2024-4463, KES-2025-4556, MER-2024-2382, CAL-2024-1994; AVT-SOP-035 v1.0 Sterile Filtration Operations; AVT-SOP-047 v3.0 Process Validation Lifecycle; AVT-SOP-051 v5.0 Requalification and Periodic Review; Validation Steering minutes August 2026 to January 2027; correspondence on the inspection document request list and the vendor resin manufacturing change; QC stability working files for the STB-AVI401-002 24-month pull and authority response.</w:t>
      </w:r>
    </w:p>
    <w:p>
      <w:r>
        <w:rPr>
          <w:b w:val="0"/>
          <w:i/>
          <w:sz w:val="19"/>
        </w:rPr>
        <w:t>Not examined: native LIMS, QMS, DMS, MES, ERP and RIM entries; original raw-data attachments; the master production record. Any status in this brief that depends on those systems is an observation from documents only and must be confirmed against the system of record before it is used in front of the authority.</w:t>
      </w:r>
    </w:p>
    <w:sectPr w:rsidR="00FC693F" w:rsidRPr="0006063C" w:rsidSect="00034616">
      <w:pgSz w:w="12240" w:h="15840"/>
      <w:pgMar w:top="1077" w:right="1191" w:bottom="1077"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Calibri" w:hAnsi="Calibri"/>
      <w:b/>
      <w:bCs/>
      <w:color w:val="1F3A5F"/>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b/>
      <w:bCs/>
      <w:color w:val="1F3A5F"/>
      <w:sz w:val="24"/>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Theme="majorHAnsi" w:eastAsiaTheme="majorEastAsia" w:hAnsiTheme="majorHAnsi" w:cstheme="majorBidi" w:ascii="Calibri" w:hAnsi="Calibri"/>
      <w:b/>
      <w:bCs/>
      <w:color w:val="33333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