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597"/>
          <w:sz w:val="24"/>
        </w:rPr>
        <w:t>CMC &amp; MSAT</w:t>
      </w:r>
    </w:p>
    <w:p>
      <w:pPr>
        <w:pStyle w:val="Title"/>
      </w:pPr>
      <w:r>
        <w:t>CC-AVI401-017</w:t>
        <w:br/>
        <w:t>Technical position and</w:t>
        <w:br/>
        <w:t>regulatory-impact brief</w:t>
      </w:r>
    </w:p>
    <w:p>
      <w:r>
        <w:rPr>
          <w:b/>
          <w:color w:val="44546A"/>
          <w:sz w:val="24"/>
        </w:rPr>
        <w:t>Proposed Helion HF-55 alternate overwrap versus the approved AVI-401 system</w:t>
      </w:r>
    </w:p>
    <w:p>
      <w:r>
        <w:br/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237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6"/>
              </w:rPr>
              <w:t>Prepared for</w:t>
            </w:r>
          </w:p>
        </w:tc>
        <w:tc>
          <w:tcPr>
            <w:tcW w:type="dxa" w:w="842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6"/>
              </w:rPr>
              <w:t>Jonas Wei, Regulatory CMC Manager</w:t>
            </w:r>
          </w:p>
        </w:tc>
      </w:tr>
      <w:tr>
        <w:tc>
          <w:tcPr>
            <w:tcW w:type="dxa" w:w="237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6"/>
              </w:rPr>
              <w:t>Product / application</w:t>
            </w:r>
          </w:p>
        </w:tc>
        <w:tc>
          <w:tcPr>
            <w:tcW w:type="dxa" w:w="842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6"/>
              </w:rPr>
              <w:t>AVI-401 / APP-CN-AVI401-001</w:t>
            </w:r>
          </w:p>
        </w:tc>
      </w:tr>
      <w:tr>
        <w:tc>
          <w:tcPr>
            <w:tcW w:type="dxa" w:w="237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6"/>
              </w:rPr>
              <w:t>Change</w:t>
            </w:r>
          </w:p>
        </w:tc>
        <w:tc>
          <w:tcPr>
            <w:tcW w:type="dxa" w:w="842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6"/>
              </w:rPr>
              <w:t>CC-AVI401-017 — qualify alternate overwrap supplier</w:t>
            </w:r>
          </w:p>
        </w:tc>
      </w:tr>
      <w:tr>
        <w:tc>
          <w:tcPr>
            <w:tcW w:type="dxa" w:w="237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6"/>
              </w:rPr>
              <w:t>Evidence cut-off</w:t>
            </w:r>
          </w:p>
        </w:tc>
        <w:tc>
          <w:tcPr>
            <w:tcW w:type="dxa" w:w="842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6"/>
              </w:rPr>
              <w:t>08 February 2027</w:t>
            </w:r>
          </w:p>
        </w:tc>
      </w:tr>
      <w:tr>
        <w:tc>
          <w:tcPr>
            <w:tcW w:type="dxa" w:w="237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6"/>
              </w:rPr>
              <w:t>Position</w:t>
            </w:r>
          </w:p>
        </w:tc>
        <w:tc>
          <w:tcPr>
            <w:tcW w:type="dxa" w:w="842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/>
                <w:color w:val="9C0006"/>
                <w:sz w:val="16"/>
              </w:rPr>
              <w:t>HOLD — technical equivalence not established; implementation not supported</w:t>
            </w:r>
          </w:p>
        </w:tc>
      </w:tr>
      <w:tr>
        <w:tc>
          <w:tcPr>
            <w:tcW w:type="dxa" w:w="237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6"/>
              </w:rPr>
              <w:t>Document status</w:t>
            </w:r>
          </w:p>
        </w:tc>
        <w:tc>
          <w:tcPr>
            <w:tcW w:type="dxa" w:w="842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6"/>
              </w:rPr>
              <w:t>Discussion brief; not a QMS approval, regulatory categorisation record, or implementation authorisation</w:t>
            </w:r>
          </w:p>
        </w:tc>
      </w:tr>
    </w:tbl>
    <w:p>
      <w:pPr>
        <w:pStyle w:val="Small"/>
        <w:spacing w:before="360"/>
      </w:pPr>
      <w:r>
        <w:rPr>
          <w:b/>
        </w:rPr>
        <w:t xml:space="preserve">Purpose. </w:t>
      </w:r>
      <w:r>
        <w:t>Provide CMC/MSAT’s scientific position for the Regulatory CMC impact discussion, based on the approved BF-51 configuration and evidence currently available. Conclusions are deliberately separated from future evidence and formal decisions held in QMS/RIM.</w:t>
      </w:r>
    </w:p>
    <w:p>
      <w:r>
        <w:br w:type="page"/>
      </w:r>
    </w:p>
    <w:p>
      <w:pPr>
        <w:pStyle w:val="Heading1"/>
      </w:pPr>
      <w:r>
        <w:t>1. Executive position</w:t>
      </w:r>
    </w:p>
    <w:p>
      <w:pPr>
        <w:pStyle w:val="Decision"/>
      </w:pPr>
      <w:r>
        <w:t>CMC/MSAT recommendation: do not approve, release, procure for commercial use, or implement HF-55 under CC-AVI401-017 at this time.</w:t>
      </w:r>
    </w:p>
    <w:p>
      <w:r>
        <w:t>HF-55 is not a like-for-like supplier substitution. It changes the film construction and oxygen-barrier performance of a secondary packaging component that is explicitly part of AVI-401’s registered control strategy. At 23 °C / 65% RH, the supplier-reported oxygen transmission rate (OTR) is 3.8 versus 2.4 cm³/m²·day·bar for BF-51—approximately 58% higher oxygen transmission. The proposed film therefore moves in the adverse direction for the product’s fastest-moving degradation pathway, Impurity A (avericin N-oxide).</w:t>
      </w:r>
    </w:p>
    <w:p>
      <w:r>
        <w:t>The present evidence supports only the approved Ilyssa BF-51 system. It does not establish HF-55 equivalence, an acceptable bridge to the existing 36-month shelf-life package, or process/seal suitability on Havenor’s line. The supplier expressly does not claim process equivalence or matched oxygen barrier, and no AVI-401 stability data with HF-55 are available.</w:t>
      </w:r>
    </w:p>
    <w:p>
      <w:r>
        <w:t>Regulatory CMC should treat this as a substantive change to registered container-system information and the shelf-life control strategy—not as an administrative second-source update. Because APP-CN-AVI401-001 remains under review and the authority is currently asking specifically about BF-51 OTR, oxidation, worst-case pack and 36-month support, implementation must remain blocked pending a market-specific RIM assessment and any required prior authority clearance. The exact reporting category cannot be finalised from the current technical package.</w:t>
      </w:r>
    </w:p>
    <w:p>
      <w:pPr>
        <w:pStyle w:val="Heading2"/>
      </w:pPr>
      <w:r>
        <w:t>Decision statements for the discussion</w:t>
      </w:r>
    </w:p>
    <w:p>
      <w:pPr>
        <w:pStyle w:val="ListBullet"/>
        <w:spacing w:after="60"/>
      </w:pPr>
      <w:r>
        <w:t>Approved baseline remains CCS-AVI401-02 with Ilyssa BF-51 (PE/EVOH-32/PE, 51 µm). Only this configuration is supported by the filed stability narrative and approved validation reports.</w:t>
      </w:r>
    </w:p>
    <w:p>
      <w:pPr>
        <w:pStyle w:val="ListBullet"/>
        <w:spacing w:after="60"/>
      </w:pPr>
      <w:r>
        <w:t>HF-55 (MAT-OWR-005) may continue in controlled feasibility/qualification work, but must remain segregated and unavailable to ERP/MES commercial effectivity.</w:t>
      </w:r>
    </w:p>
    <w:p>
      <w:pPr>
        <w:pStyle w:val="ListBullet"/>
        <w:spacing w:after="60"/>
      </w:pPr>
      <w:r>
        <w:t>No shelf-life bridge should be claimed from BF-51 to HF-55 based on supplier OTR/WVTR data alone.</w:t>
      </w:r>
    </w:p>
    <w:p>
      <w:pPr>
        <w:pStyle w:val="ListBullet"/>
        <w:spacing w:after="60"/>
      </w:pPr>
      <w:r>
        <w:t>The open authority response and COM-AVI401-008 update should describe and support the registered BF-51 system. HF-55 should not be represented as approved or equivalent.</w:t>
      </w:r>
    </w:p>
    <w:p>
      <w:pPr>
        <w:pStyle w:val="ListBullet"/>
        <w:spacing w:after="60"/>
      </w:pPr>
      <w:r>
        <w:t>Reconsider the technical position only after the evidence gates in Section 6 are closed and independently reviewed.</w:t>
      </w:r>
    </w:p>
    <w:p>
      <w:pPr>
        <w:pStyle w:val="Heading1"/>
      </w:pPr>
      <w:r>
        <w:t>2. Approved baseline versus proposed state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80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Attribute</w:t>
            </w:r>
          </w:p>
        </w:tc>
        <w:tc>
          <w:tcPr>
            <w:tcW w:type="dxa" w:w="273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Approved AVI-401 system</w:t>
            </w:r>
          </w:p>
        </w:tc>
        <w:tc>
          <w:tcPr>
            <w:tcW w:type="dxa" w:w="266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Proposed HF-55</w:t>
            </w:r>
          </w:p>
        </w:tc>
        <w:tc>
          <w:tcPr>
            <w:tcW w:type="dxa" w:w="367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CMC/MSAT interpretation</w:t>
            </w:r>
          </w:p>
        </w:tc>
      </w:tr>
      <w:tr>
        <w:tc>
          <w:tcPr>
            <w:tcW w:type="dxa" w:w="180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Supplier / material</w:t>
            </w:r>
          </w:p>
        </w:tc>
        <w:tc>
          <w:tcPr>
            <w:tcW w:type="dxa" w:w="273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Ilyssa BF-51</w:t>
            </w:r>
          </w:p>
        </w:tc>
        <w:tc>
          <w:tcPr>
            <w:tcW w:type="dxa" w:w="266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Helion HF-55 / MAT-OWR-005</w:t>
            </w:r>
          </w:p>
        </w:tc>
        <w:tc>
          <w:tcPr>
            <w:tcW w:type="dxa" w:w="367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Supplier and material both change.</w:t>
            </w:r>
          </w:p>
        </w:tc>
      </w:tr>
      <w:tr>
        <w:tc>
          <w:tcPr>
            <w:tcW w:type="dxa" w:w="180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Construction</w:t>
            </w:r>
          </w:p>
        </w:tc>
        <w:tc>
          <w:tcPr>
            <w:tcW w:type="dxa" w:w="273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PE / EVOH-32 / PE</w:t>
            </w:r>
          </w:p>
        </w:tc>
        <w:tc>
          <w:tcPr>
            <w:tcW w:type="dxa" w:w="266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PE / EVOH-44 / PE</w:t>
            </w:r>
          </w:p>
        </w:tc>
        <w:tc>
          <w:tcPr>
            <w:tcW w:type="dxa" w:w="367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Different EVOH grade; not formulation-identical.</w:t>
            </w:r>
          </w:p>
        </w:tc>
      </w:tr>
      <w:tr>
        <w:tc>
          <w:tcPr>
            <w:tcW w:type="dxa" w:w="180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Layer / total thickness</w:t>
            </w:r>
          </w:p>
        </w:tc>
        <w:tc>
          <w:tcPr>
            <w:tcW w:type="dxa" w:w="273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20 / 5 / 26 µm; total 51 µm</w:t>
            </w:r>
          </w:p>
        </w:tc>
        <w:tc>
          <w:tcPr>
            <w:tcW w:type="dxa" w:w="266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22 / 6 / 27 µm; total 55 µm</w:t>
            </w:r>
          </w:p>
        </w:tc>
        <w:tc>
          <w:tcPr>
            <w:tcW w:type="dxa" w:w="367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Different layer stack and +4 µm total thickness.</w:t>
            </w:r>
          </w:p>
        </w:tc>
      </w:tr>
      <w:tr>
        <w:tc>
          <w:tcPr>
            <w:tcW w:type="dxa" w:w="180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OTR, 23 °C / 0% RH</w:t>
            </w:r>
          </w:p>
        </w:tc>
        <w:tc>
          <w:tcPr>
            <w:tcW w:type="dxa" w:w="273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0.8 cm³/m²·d·bar</w:t>
            </w:r>
          </w:p>
        </w:tc>
        <w:tc>
          <w:tcPr>
            <w:tcW w:type="dxa" w:w="266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2.1 cm³/m²·d·bar</w:t>
            </w:r>
          </w:p>
        </w:tc>
        <w:tc>
          <w:tcPr>
            <w:tcW w:type="dxa" w:w="367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~163% higher; materially weaker dry oxygen barrier.</w:t>
            </w:r>
          </w:p>
        </w:tc>
      </w:tr>
      <w:tr>
        <w:tc>
          <w:tcPr>
            <w:tcW w:type="dxa" w:w="180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OTR, 23 °C / 65% RH</w:t>
            </w:r>
          </w:p>
        </w:tc>
        <w:tc>
          <w:tcPr>
            <w:tcW w:type="dxa" w:w="273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2.4 cm³/m²·d·bar</w:t>
            </w:r>
          </w:p>
        </w:tc>
        <w:tc>
          <w:tcPr>
            <w:tcW w:type="dxa" w:w="266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3.8 cm³/m²·d·bar</w:t>
            </w:r>
          </w:p>
        </w:tc>
        <w:tc>
          <w:tcPr>
            <w:tcW w:type="dxa" w:w="367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~58% higher at the available humidity-relevant comparison.</w:t>
            </w:r>
          </w:p>
        </w:tc>
      </w:tr>
      <w:tr>
        <w:tc>
          <w:tcPr>
            <w:tcW w:type="dxa" w:w="180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WVTR, 38 °C / 90% RH</w:t>
            </w:r>
          </w:p>
        </w:tc>
        <w:tc>
          <w:tcPr>
            <w:tcW w:type="dxa" w:w="273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1.5 g/m²·d</w:t>
            </w:r>
          </w:p>
        </w:tc>
        <w:tc>
          <w:tcPr>
            <w:tcW w:type="dxa" w:w="266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1.2 g/m²·d</w:t>
            </w:r>
          </w:p>
        </w:tc>
        <w:tc>
          <w:tcPr>
            <w:tcW w:type="dxa" w:w="367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HF-55 is ~20% lower for WVTR; this does not offset oxygen risk.</w:t>
            </w:r>
          </w:p>
        </w:tc>
      </w:tr>
      <w:tr>
        <w:tc>
          <w:tcPr>
            <w:tcW w:type="dxa" w:w="180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Seal layer / window</w:t>
            </w:r>
          </w:p>
        </w:tc>
        <w:tc>
          <w:tcPr>
            <w:tcW w:type="dxa" w:w="273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LDPE; 135–155 °C</w:t>
            </w:r>
          </w:p>
        </w:tc>
        <w:tc>
          <w:tcPr>
            <w:tcW w:type="dxa" w:w="266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LDPE; 132–152 °C</w:t>
            </w:r>
          </w:p>
        </w:tc>
        <w:tc>
          <w:tcPr>
            <w:tcW w:type="dxa" w:w="367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Partial overlap only; line settings and seal robustness not demonstrated.</w:t>
            </w:r>
          </w:p>
        </w:tc>
      </w:tr>
      <w:tr>
        <w:tc>
          <w:tcPr>
            <w:tcW w:type="dxa" w:w="180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Pouch cut-outs</w:t>
            </w:r>
          </w:p>
        </w:tc>
        <w:tc>
          <w:tcPr>
            <w:tcW w:type="dxa" w:w="273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100 mL 140×180 mm; 250 mL 160×230 mm</w:t>
            </w:r>
          </w:p>
        </w:tc>
        <w:tc>
          <w:tcPr>
            <w:tcW w:type="dxa" w:w="266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Same nominal dimensions</w:t>
            </w:r>
          </w:p>
        </w:tc>
        <w:tc>
          <w:tcPr>
            <w:tcW w:type="dxa" w:w="367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Nominal fit is supportive but drawings remain outstanding in the change assessment.</w:t>
            </w:r>
          </w:p>
        </w:tc>
      </w:tr>
      <w:tr>
        <w:tc>
          <w:tcPr>
            <w:tcW w:type="dxa" w:w="180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Product contact</w:t>
            </w:r>
          </w:p>
        </w:tc>
        <w:tc>
          <w:tcPr>
            <w:tcW w:type="dxa" w:w="273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Non-contact, applied after fill/seal/terminal processing/inspection</w:t>
            </w:r>
          </w:p>
        </w:tc>
        <w:tc>
          <w:tcPr>
            <w:tcW w:type="dxa" w:w="266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Same intended use</w:t>
            </w:r>
          </w:p>
        </w:tc>
        <w:tc>
          <w:tcPr>
            <w:tcW w:type="dxa" w:w="367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Reduces direct leachables concern, but does not remove barrier, migration, particulate, seal or handling risks.</w:t>
            </w:r>
          </w:p>
        </w:tc>
      </w:tr>
      <w:tr>
        <w:tc>
          <w:tcPr>
            <w:tcW w:type="dxa" w:w="180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Product/process evidence</w:t>
            </w:r>
          </w:p>
        </w:tc>
        <w:tc>
          <w:tcPr>
            <w:tcW w:type="dxa" w:w="273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Filed stability through 18 months; approved current-system validation</w:t>
            </w:r>
          </w:p>
        </w:tc>
        <w:tc>
          <w:tcPr>
            <w:tcW w:type="dxa" w:w="266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No AVI-401 stability; no Havenor line run</w:t>
            </w:r>
          </w:p>
        </w:tc>
        <w:tc>
          <w:tcPr>
            <w:tcW w:type="dxa" w:w="367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Equivalence and shelf-life bridge are not established.</w:t>
            </w:r>
          </w:p>
        </w:tc>
      </w:tr>
    </w:tbl>
    <w:p>
      <w:pPr>
        <w:spacing w:after="0"/>
      </w:pPr>
    </w:p>
    <w:p>
      <w:pPr>
        <w:pStyle w:val="Small"/>
      </w:pPr>
      <w:r>
        <w:t>Source: HFC-QN-2026-074 and filed Module 3.2.P.8. Ratios are simple comparisons of the reported values; no adjustment has been made for pouch area, seal area, headspace, storage distribution, or test-method uncertainty.</w:t>
      </w:r>
    </w:p>
    <w:p>
      <w:pPr>
        <w:pStyle w:val="Heading1"/>
      </w:pPr>
      <w:r>
        <w:t>3. Scientific and product-quality assessment</w:t>
      </w:r>
    </w:p>
    <w:p>
      <w:pPr>
        <w:pStyle w:val="Heading2"/>
      </w:pPr>
      <w:r>
        <w:t>3.1 Oxygen barrier is a critical functional attribute</w:t>
      </w:r>
    </w:p>
    <w:p>
      <w:r>
        <w:t>The filed stability summary identifies BF-51 as the oxygen-barrier member of the marketed pack. AVI-401’s primary bag is polyolefin and is not a high-barrier film. Impurity A formation depends on residual headspace oxygen and oxygen permeation, and the 250 mL presentation (AVI401-R03) is identified as the more demanding oxidative case because of pack geometry and headspace-to-volume considerations.</w:t>
      </w:r>
    </w:p>
    <w:p>
      <w:r>
        <w:t>The observed data are consistent with that mechanism: at 18 months/25 °C/60% RH, Impurity A is 0.35% for AVI401-R03 versus 0.30% and 0.29% for the 100 mL lots, against a 0.50% limit. At accelerated conditions, R03 reached 0.46% at six months; at intermediate conditions it reached 0.43% at 12 months. A film with higher OTR could increase oxygen ingress and steepen the Impurity A trend. The current data cannot quantify that effect for HF-55.</w:t>
      </w:r>
    </w:p>
    <w:p>
      <w:pPr>
        <w:pStyle w:val="Heading2"/>
      </w:pPr>
      <w:r>
        <w:t>3.2 Existing shelf-life evidence does not create a bridge</w:t>
      </w:r>
    </w:p>
    <w:p>
      <w:r>
        <w:t>STB-AVI401-002 is active and explicitly bound to CCS-AVI401-02/BF-51 and AVI401-SPEC-v03. The verified record currently contains results only through 18 months; the 24-month pull is scheduled for 01 March 2027 and remains pending. Existing registration-lot results therefore support the current system only.</w:t>
      </w:r>
    </w:p>
    <w:p>
      <w:r>
        <w:t>As a risk-screening calculation—not a controlled shelf-life analysis—ordinary least-squares fits of the filed 0–18 month Impurity A values give the point estimates below. These reinforce the limited margin in the approved system and the need to avoid assuming that a weaker oxygen barrier can support 36 months.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</w:trPr>
        <w:tc>
          <w:tcPr>
            <w:tcW w:type="dxa" w:w="244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Lot / presentation</w:t>
            </w:r>
          </w:p>
        </w:tc>
        <w:tc>
          <w:tcPr>
            <w:tcW w:type="dxa" w:w="172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18 m observed</w:t>
            </w:r>
          </w:p>
        </w:tc>
        <w:tc>
          <w:tcPr>
            <w:tcW w:type="dxa" w:w="237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24 m linear point estimate</w:t>
            </w:r>
          </w:p>
        </w:tc>
        <w:tc>
          <w:tcPr>
            <w:tcW w:type="dxa" w:w="237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36 m linear point estimate</w:t>
            </w:r>
          </w:p>
        </w:tc>
        <w:tc>
          <w:tcPr>
            <w:tcW w:type="dxa" w:w="208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Residual standard error</w:t>
            </w:r>
          </w:p>
        </w:tc>
      </w:tr>
      <w:tr>
        <w:tc>
          <w:tcPr>
            <w:tcW w:type="dxa" w:w="244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AVI401-R01 / 100 mL</w:t>
            </w:r>
          </w:p>
        </w:tc>
        <w:tc>
          <w:tcPr>
            <w:tcW w:type="dxa" w:w="172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0.30%</w:t>
            </w:r>
          </w:p>
        </w:tc>
        <w:tc>
          <w:tcPr>
            <w:tcW w:type="dxa" w:w="237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0.372%</w:t>
            </w:r>
          </w:p>
        </w:tc>
        <w:tc>
          <w:tcPr>
            <w:tcW w:type="dxa" w:w="237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0.533%</w:t>
            </w:r>
          </w:p>
        </w:tc>
        <w:tc>
          <w:tcPr>
            <w:tcW w:type="dxa" w:w="208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0.0084%</w:t>
            </w:r>
          </w:p>
        </w:tc>
      </w:tr>
      <w:tr>
        <w:tc>
          <w:tcPr>
            <w:tcW w:type="dxa" w:w="244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AVI401-R02 / 100 mL</w:t>
            </w:r>
          </w:p>
        </w:tc>
        <w:tc>
          <w:tcPr>
            <w:tcW w:type="dxa" w:w="172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0.29%</w:t>
            </w:r>
          </w:p>
        </w:tc>
        <w:tc>
          <w:tcPr>
            <w:tcW w:type="dxa" w:w="237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0.371%</w:t>
            </w:r>
          </w:p>
        </w:tc>
        <w:tc>
          <w:tcPr>
            <w:tcW w:type="dxa" w:w="237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0.525%</w:t>
            </w:r>
          </w:p>
        </w:tc>
        <w:tc>
          <w:tcPr>
            <w:tcW w:type="dxa" w:w="208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0.0030%</w:t>
            </w:r>
          </w:p>
        </w:tc>
      </w:tr>
      <w:tr>
        <w:tc>
          <w:tcPr>
            <w:tcW w:type="dxa" w:w="244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AVI401-R03 / 250 mL</w:t>
            </w:r>
          </w:p>
        </w:tc>
        <w:tc>
          <w:tcPr>
            <w:tcW w:type="dxa" w:w="172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0.35%</w:t>
            </w:r>
          </w:p>
        </w:tc>
        <w:tc>
          <w:tcPr>
            <w:tcW w:type="dxa" w:w="237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0.446%</w:t>
            </w:r>
          </w:p>
        </w:tc>
        <w:tc>
          <w:tcPr>
            <w:tcW w:type="dxa" w:w="237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0.636%</w:t>
            </w:r>
          </w:p>
        </w:tc>
        <w:tc>
          <w:tcPr>
            <w:tcW w:type="dxa" w:w="208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0.0034%</w:t>
            </w:r>
          </w:p>
        </w:tc>
      </w:tr>
    </w:tbl>
    <w:p>
      <w:pPr>
        <w:spacing w:after="0"/>
      </w:pPr>
    </w:p>
    <w:p>
      <w:pPr>
        <w:pStyle w:val="Small"/>
      </w:pPr>
      <w:r>
        <w:t>Screening method: unweighted linear regression of Impurity A at 0, 3, 6, 9, 12 and 18 months, fitted separately by lot; specification NMT 0.50%. No confidence bound, pooling, model qualification or rounding rule was applied. Regulatory use requires a controlled, independently reviewed analysis responding to HA-AVI401-IR-2027-014.</w:t>
      </w:r>
    </w:p>
    <w:p>
      <w:pPr>
        <w:pStyle w:val="Heading2"/>
      </w:pPr>
      <w:r>
        <w:t>3.3 Other technical interfaces remain open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208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Interface</w:t>
            </w:r>
          </w:p>
        </w:tc>
        <w:tc>
          <w:tcPr>
            <w:tcW w:type="dxa" w:w="432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Current evidence</w:t>
            </w:r>
          </w:p>
        </w:tc>
        <w:tc>
          <w:tcPr>
            <w:tcW w:type="dxa" w:w="489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Position / gap</w:t>
            </w:r>
          </w:p>
        </w:tc>
      </w:tr>
      <w:tr>
        <w:tc>
          <w:tcPr>
            <w:tcW w:type="dxa" w:w="208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Seal integrity and process window</w:t>
            </w:r>
          </w:p>
        </w:tc>
        <w:tc>
          <w:tcPr>
            <w:tcW w:type="dxa" w:w="432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Supplier gives a recommended 132–152 °C window; Helion has not run Havenor’s line. AVT-VAL-202 supports only the approved configuration.</w:t>
            </w:r>
          </w:p>
        </w:tc>
        <w:tc>
          <w:tcPr>
            <w:tcW w:type="dxa" w:w="489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Execute approved line-fit and sealing-window protocol at justified edges; assess visual seal, package integrity and reproducibility.</w:t>
            </w:r>
          </w:p>
        </w:tc>
      </w:tr>
      <w:tr>
        <w:tc>
          <w:tcPr>
            <w:tcW w:type="dxa" w:w="208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Mechanical fit / distribution</w:t>
            </w:r>
          </w:p>
        </w:tc>
        <w:tc>
          <w:tcPr>
            <w:tcW w:type="dxa" w:w="432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Nominal pouch dimensions match; supplier drawings and qualification certificates are not present in the reviewed file set.</w:t>
            </w:r>
          </w:p>
        </w:tc>
        <w:tc>
          <w:tcPr>
            <w:tcW w:type="dxa" w:w="489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Obtain controlled drawings/certificates; perform fit, handling, print/label, packing and shipping configuration assessment.</w:t>
            </w:r>
          </w:p>
        </w:tc>
      </w:tr>
      <w:tr>
        <w:tc>
          <w:tcPr>
            <w:tcW w:type="dxa" w:w="208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Particulate / cleanliness</w:t>
            </w:r>
          </w:p>
        </w:tc>
        <w:tc>
          <w:tcPr>
            <w:tcW w:type="dxa" w:w="432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No representative HF-55 results available.</w:t>
            </w:r>
          </w:p>
        </w:tc>
        <w:tc>
          <w:tcPr>
            <w:tcW w:type="dxa" w:w="489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Define method and acceptance criteria; test representative lots and line-trial units.</w:t>
            </w:r>
          </w:p>
        </w:tc>
      </w:tr>
      <w:tr>
        <w:tc>
          <w:tcPr>
            <w:tcW w:type="dxa" w:w="208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Extractables / migration</w:t>
            </w:r>
          </w:p>
        </w:tc>
        <w:tc>
          <w:tcPr>
            <w:tcW w:type="dxa" w:w="432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Film is non-product-contact, but AVT-VAL-105 and AVT-VAL-201 cover the current system only.</w:t>
            </w:r>
          </w:p>
        </w:tc>
        <w:tc>
          <w:tcPr>
            <w:tcW w:type="dxa" w:w="489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Document a pathway-based CMC/toxicology risk assessment, including migration through/around the primary pack and effects of storage.</w:t>
            </w:r>
          </w:p>
        </w:tc>
      </w:tr>
      <w:tr>
        <w:tc>
          <w:tcPr>
            <w:tcW w:type="dxa" w:w="208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Supplier controls / incoming specification</w:t>
            </w:r>
          </w:p>
        </w:tc>
        <w:tc>
          <w:tcPr>
            <w:tcW w:type="dxa" w:w="432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Notification received; supplier qualification, quality agreement and incoming controls remain open.</w:t>
            </w:r>
          </w:p>
        </w:tc>
        <w:tc>
          <w:tcPr>
            <w:tcW w:type="dxa" w:w="489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Complete audit/qualification, change-notification controls, material specification and sampling plan.</w:t>
            </w:r>
          </w:p>
        </w:tc>
      </w:tr>
      <w:tr>
        <w:tc>
          <w:tcPr>
            <w:tcW w:type="dxa" w:w="208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Stability confirmation</w:t>
            </w:r>
          </w:p>
        </w:tc>
        <w:tc>
          <w:tcPr>
            <w:tcW w:type="dxa" w:w="432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No AVI-401/HF-55 data or approved bridge protocol.</w:t>
            </w:r>
          </w:p>
        </w:tc>
        <w:tc>
          <w:tcPr>
            <w:tcW w:type="dxa" w:w="489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Use both presentations and treat 250 mL as minimum worst-case for oxidation; protocol must measure Impurity A and define release/ongoing gates.</w:t>
            </w:r>
          </w:p>
        </w:tc>
      </w:tr>
    </w:tbl>
    <w:p>
      <w:pPr>
        <w:spacing w:after="0"/>
      </w:pPr>
    </w:p>
    <w:p>
      <w:pPr>
        <w:pStyle w:val="Heading1"/>
      </w:pPr>
      <w:r>
        <w:t>4. Evidence available and evidentiary weight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230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Evidence</w:t>
            </w:r>
          </w:p>
        </w:tc>
        <w:tc>
          <w:tcPr>
            <w:tcW w:type="dxa" w:w="252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Status at cut-off</w:t>
            </w:r>
          </w:p>
        </w:tc>
        <w:tc>
          <w:tcPr>
            <w:tcW w:type="dxa" w:w="302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What it supports</w:t>
            </w:r>
          </w:p>
        </w:tc>
        <w:tc>
          <w:tcPr>
            <w:tcW w:type="dxa" w:w="345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What it does not support</w:t>
            </w:r>
          </w:p>
        </w:tc>
      </w:tr>
      <w:tr>
        <w:tc>
          <w:tcPr>
            <w:tcW w:type="dxa" w:w="230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AVT-CMC-041 v01</w:t>
            </w:r>
          </w:p>
        </w:tc>
        <w:tc>
          <w:tcPr>
            <w:tcW w:type="dxa" w:w="252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Draft; QA approval pending</w:t>
            </w:r>
          </w:p>
        </w:tc>
        <w:tc>
          <w:tcPr>
            <w:tcW w:type="dxa" w:w="302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Workstreams, risks and implementation prerequisites</w:t>
            </w:r>
          </w:p>
        </w:tc>
        <w:tc>
          <w:tcPr>
            <w:tcW w:type="dxa" w:w="345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Approval or technical equivalence</w:t>
            </w:r>
          </w:p>
        </w:tc>
      </w:tr>
      <w:tr>
        <w:tc>
          <w:tcPr>
            <w:tcW w:type="dxa" w:w="230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CC-AVI401-017 status export</w:t>
            </w:r>
          </w:p>
        </w:tc>
        <w:tc>
          <w:tcPr>
            <w:tcW w:type="dxa" w:w="252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technical_assessment; regulatory not started; implementation not authorised</w:t>
            </w:r>
          </w:p>
        </w:tc>
        <w:tc>
          <w:tcPr>
            <w:tcW w:type="dxa" w:w="302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Current workflow state and open gates</w:t>
            </w:r>
          </w:p>
        </w:tc>
        <w:tc>
          <w:tcPr>
            <w:tcW w:type="dxa" w:w="345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Validated or regulatory conclusion</w:t>
            </w:r>
          </w:p>
        </w:tc>
      </w:tr>
      <w:tr>
        <w:tc>
          <w:tcPr>
            <w:tcW w:type="dxa" w:w="230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HFC-QN-2026-074</w:t>
            </w:r>
          </w:p>
        </w:tc>
        <w:tc>
          <w:tcPr>
            <w:tcW w:type="dxa" w:w="252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Controlled supplier notification; drawings/certificates referenced but absent from reviewed transmittal</w:t>
            </w:r>
          </w:p>
        </w:tc>
        <w:tc>
          <w:tcPr>
            <w:tcW w:type="dxa" w:w="302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HF-55 composition, dimensions, supplier test values, recommended seal window</w:t>
            </w:r>
          </w:p>
        </w:tc>
        <w:tc>
          <w:tcPr>
            <w:tcW w:type="dxa" w:w="345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Havenor process equivalence or AVI-401 shelf life</w:t>
            </w:r>
          </w:p>
        </w:tc>
      </w:tr>
      <w:tr>
        <w:tc>
          <w:tcPr>
            <w:tcW w:type="dxa" w:w="230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Filed 3.2.P.8 / AVT-CMC-038 v03</w:t>
            </w:r>
          </w:p>
        </w:tc>
        <w:tc>
          <w:tcPr>
            <w:tcW w:type="dxa" w:w="252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Effective; sequence 0003</w:t>
            </w:r>
          </w:p>
        </w:tc>
        <w:tc>
          <w:tcPr>
            <w:tcW w:type="dxa" w:w="302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Registered BF-51 role, 18-month data, commitment linkage</w:t>
            </w:r>
          </w:p>
        </w:tc>
        <w:tc>
          <w:tcPr>
            <w:tcW w:type="dxa" w:w="345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HF-55 bridge</w:t>
            </w:r>
          </w:p>
        </w:tc>
      </w:tr>
      <w:tr>
        <w:tc>
          <w:tcPr>
            <w:tcW w:type="dxa" w:w="230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AVT-STB-301 and LIMS exports</w:t>
            </w:r>
          </w:p>
        </w:tc>
        <w:tc>
          <w:tcPr>
            <w:tcW w:type="dxa" w:w="252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Approved / verified through 18 months</w:t>
            </w:r>
          </w:p>
        </w:tc>
        <w:tc>
          <w:tcPr>
            <w:tcW w:type="dxa" w:w="302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Current-system stability performance</w:t>
            </w:r>
          </w:p>
        </w:tc>
        <w:tc>
          <w:tcPr>
            <w:tcW w:type="dxa" w:w="345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24- or 36-month outcome; alternate pack performance</w:t>
            </w:r>
          </w:p>
        </w:tc>
      </w:tr>
      <w:tr>
        <w:tc>
          <w:tcPr>
            <w:tcW w:type="dxa" w:w="230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AVT-VAL-201/202/203</w:t>
            </w:r>
          </w:p>
        </w:tc>
        <w:tc>
          <w:tcPr>
            <w:tcW w:type="dxa" w:w="252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Approved for current system</w:t>
            </w:r>
          </w:p>
        </w:tc>
        <w:tc>
          <w:tcPr>
            <w:tcW w:type="dxa" w:w="302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Compatibility, closure/seal and administration-set evidence for CCS-AVI401-02</w:t>
            </w:r>
          </w:p>
        </w:tc>
        <w:tc>
          <w:tcPr>
            <w:tcW w:type="dxa" w:w="345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Alternate material/supplier/configuration</w:t>
            </w:r>
          </w:p>
        </w:tc>
      </w:tr>
      <w:tr>
        <w:tc>
          <w:tcPr>
            <w:tcW w:type="dxa" w:w="230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HA-AVI401-IR-2027-014</w:t>
            </w:r>
          </w:p>
        </w:tc>
        <w:tc>
          <w:tcPr>
            <w:tcW w:type="dxa" w:w="252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Official; response due within 60 days of 19 Jan 2027</w:t>
            </w:r>
          </w:p>
        </w:tc>
        <w:tc>
          <w:tcPr>
            <w:tcW w:type="dxa" w:w="302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Active authority scrutiny of BF-51 OTR, oxidation, projection and worst case</w:t>
            </w:r>
          </w:p>
        </w:tc>
        <w:tc>
          <w:tcPr>
            <w:tcW w:type="dxa" w:w="345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Acceptance of HF-55 or change category</w:t>
            </w:r>
          </w:p>
        </w:tc>
      </w:tr>
      <w:tr>
        <w:tc>
          <w:tcPr>
            <w:tcW w:type="dxa" w:w="230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24-month working planning files</w:t>
            </w:r>
          </w:p>
        </w:tc>
        <w:tc>
          <w:tcPr>
            <w:tcW w:type="dxa" w:w="252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Unsigned working files; pull not executed</w:t>
            </w:r>
          </w:p>
        </w:tc>
        <w:tc>
          <w:tcPr>
            <w:tcW w:type="dxa" w:w="302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Planning discussion only</w:t>
            </w:r>
          </w:p>
        </w:tc>
        <w:tc>
          <w:tcPr>
            <w:tcW w:type="dxa" w:w="345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Verified data, QC decision or regulatory evidence</w:t>
            </w:r>
          </w:p>
        </w:tc>
      </w:tr>
    </w:tbl>
    <w:p>
      <w:pPr>
        <w:spacing w:after="0"/>
      </w:pPr>
    </w:p>
    <w:p>
      <w:pPr>
        <w:pStyle w:val="Small"/>
      </w:pPr>
      <w:r>
        <w:t>Data-governance note: this brief does not supersede QMS, RIM, LIMS, ERP, DMS or MES. Working files and exports must not be used as evidence of an approved state.</w:t>
      </w:r>
    </w:p>
    <w:p>
      <w:pPr>
        <w:pStyle w:val="Heading1"/>
      </w:pPr>
      <w:r>
        <w:t>5. Regulatory CMC impact</w:t>
      </w:r>
    </w:p>
    <w:p>
      <w:pPr>
        <w:pStyle w:val="Heading2"/>
      </w:pPr>
      <w:r>
        <w:t>5.1 Why the change is dossier-relevant</w:t>
      </w:r>
    </w:p>
    <w:p>
      <w:pPr>
        <w:pStyle w:val="ListBullet"/>
        <w:spacing w:after="60"/>
      </w:pPr>
      <w:r>
        <w:t>The filed container description names BF-51, its PE/EVOH-32/PE construction and 51 µm thickness; HF-55 changes those registered particulars.</w:t>
      </w:r>
    </w:p>
    <w:p>
      <w:pPr>
        <w:pStyle w:val="ListBullet"/>
        <w:spacing w:after="60"/>
      </w:pPr>
      <w:r>
        <w:t>The filed stability argument expressly relies on BF-51 oxygen-barrier performance. HF-55 changes a functional attribute linked to a specified degradation product.</w:t>
      </w:r>
    </w:p>
    <w:p>
      <w:pPr>
        <w:pStyle w:val="ListBullet"/>
        <w:spacing w:after="60"/>
      </w:pPr>
      <w:r>
        <w:t>The 36-month shelf life is not yet supported by completed long-term data, and the authority has requested projections and an explanation of BF-51 OTR and headspace control.</w:t>
      </w:r>
    </w:p>
    <w:p>
      <w:pPr>
        <w:pStyle w:val="ListBullet"/>
        <w:spacing w:after="60"/>
      </w:pPr>
      <w:r>
        <w:t>COM-AVI401-008 is linked to the approved container-system identity. Alternate-pack data and commitment traceability would need an explicit RIM/LIMS strategy.</w:t>
      </w:r>
    </w:p>
    <w:p>
      <w:pPr>
        <w:pStyle w:val="Heading2"/>
      </w:pPr>
      <w:r>
        <w:t>5.2 Recommended regulatory stance</w:t>
      </w:r>
    </w:p>
    <w:p>
      <w:r>
        <w:t>Regulatory CMC should open and complete the RIM impact assessment now, but record the current technical outcome as “insufficient evidence / implementation prohibited.” The change should be presumed to require prior regulatory clearance unless a market-specific assessment, based on a complete data package, justifies otherwise. It is not supportable as a notification-only administrative supplier addition on current evidence.</w:t>
      </w:r>
    </w:p>
    <w:p>
      <w:pPr>
        <w:pStyle w:val="ListBullet"/>
        <w:spacing w:after="60"/>
      </w:pPr>
      <w:r>
        <w:t>For APP-CN-AVI401-001 while under review: maintain BF-51 as the proposed/approved commercial configuration. Do not introduce HF-55 into filed Module 3 as an equivalent commercial alternative without authority strategy and sufficient supporting data.</w:t>
      </w:r>
    </w:p>
    <w:p>
      <w:pPr>
        <w:pStyle w:val="ListBullet"/>
        <w:spacing w:after="60"/>
      </w:pPr>
      <w:r>
        <w:t>For the open information request: answer the questions using the registered BF-51 system and controlled evidence. State when requested measurements are unavailable; do not use HF-55 supplier values to fill gaps in BF-51 evidence.</w:t>
      </w:r>
    </w:p>
    <w:p>
      <w:pPr>
        <w:pStyle w:val="ListBullet"/>
        <w:spacing w:after="60"/>
      </w:pPr>
      <w:r>
        <w:t>If the programme elects to pursue HF-55, prepare affected Module 3 updates (at least container-closure description and stability sections, plus specifications/controls and validation summaries as applicable) and determine submission timing/category per market.</w:t>
      </w:r>
    </w:p>
    <w:p>
      <w:pPr>
        <w:pStyle w:val="ListBullet"/>
        <w:spacing w:after="60"/>
      </w:pPr>
      <w:r>
        <w:t>Do not set ERP/MES effectivity, consume BF-51 stock, revise commercial instructions, or package saleable product with HF-55 before QA approval and required regulatory clearance are documented.</w:t>
      </w:r>
    </w:p>
    <w:p>
      <w:pPr>
        <w:pStyle w:val="Heading2"/>
      </w:pPr>
      <w:r>
        <w:t>5.3 Interaction with the authority request</w:t>
      </w:r>
    </w:p>
    <w:p>
      <w:r>
        <w:t>The authority’s questions increase—not decrease—the regulatory risk of the change. It has highlighted R03 at 0.35% Impurity A at 18 months, requested lot-specific projections and confidence bounds, asked for BF-51 OTR at relevant humidity, and requested confirmation of headspace control. A proposed film with 58% higher supplier-reported OTR at 65% RH cannot credibly be described as neutral until product-specific evidence establishes that shelf-life protection is maintained.</w:t>
      </w:r>
    </w:p>
    <w:p>
      <w:pPr>
        <w:pStyle w:val="Heading1"/>
      </w:pPr>
      <w:r>
        <w:t>6. Minimum evidence and decision gates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79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Gate</w:t>
            </w:r>
          </w:p>
        </w:tc>
        <w:tc>
          <w:tcPr>
            <w:tcW w:type="dxa" w:w="525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Minimum closure evidence</w:t>
            </w:r>
          </w:p>
        </w:tc>
        <w:tc>
          <w:tcPr>
            <w:tcW w:type="dxa" w:w="230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Owner(s)</w:t>
            </w:r>
          </w:p>
        </w:tc>
        <w:tc>
          <w:tcPr>
            <w:tcW w:type="dxa" w:w="266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Implementation criterion</w:t>
            </w:r>
          </w:p>
        </w:tc>
      </w:tr>
      <w:tr>
        <w:tc>
          <w:tcPr>
            <w:tcW w:type="dxa" w:w="79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1. Material identity</w:t>
            </w:r>
          </w:p>
        </w:tc>
        <w:tc>
          <w:tcPr>
            <w:tcW w:type="dxa" w:w="525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Controlled HF-55 drawings, qualification certificates, composition/layer tolerances, test methods and CoA/specification</w:t>
            </w:r>
          </w:p>
        </w:tc>
        <w:tc>
          <w:tcPr>
            <w:tcW w:type="dxa" w:w="230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Packaging Engineering / Supplier Quality</w:t>
            </w:r>
          </w:p>
        </w:tc>
        <w:tc>
          <w:tcPr>
            <w:tcW w:type="dxa" w:w="266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Complete and approved</w:t>
            </w:r>
          </w:p>
        </w:tc>
      </w:tr>
      <w:tr>
        <w:tc>
          <w:tcPr>
            <w:tcW w:type="dxa" w:w="79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2. Supplier controls</w:t>
            </w:r>
          </w:p>
        </w:tc>
        <w:tc>
          <w:tcPr>
            <w:tcW w:type="dxa" w:w="525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Qualification/audit, quality agreement, change-notification terms, incoming sampling/specification</w:t>
            </w:r>
          </w:p>
        </w:tc>
        <w:tc>
          <w:tcPr>
            <w:tcW w:type="dxa" w:w="230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Supplier Quality / QC</w:t>
            </w:r>
          </w:p>
        </w:tc>
        <w:tc>
          <w:tcPr>
            <w:tcW w:type="dxa" w:w="266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Supplier and material approved</w:t>
            </w:r>
          </w:p>
        </w:tc>
      </w:tr>
      <w:tr>
        <w:tc>
          <w:tcPr>
            <w:tcW w:type="dxa" w:w="79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3. Barrier comparability</w:t>
            </w:r>
          </w:p>
        </w:tc>
        <w:tc>
          <w:tcPr>
            <w:tcW w:type="dxa" w:w="525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Comparative OTR across humidity relevant to long-term/accelerated storage; method comparability; pouch-level oxygen ingress or justified model; both sizes</w:t>
            </w:r>
          </w:p>
        </w:tc>
        <w:tc>
          <w:tcPr>
            <w:tcW w:type="dxa" w:w="230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Packaging Engineering / MSAT</w:t>
            </w:r>
          </w:p>
        </w:tc>
        <w:tc>
          <w:tcPr>
            <w:tcW w:type="dxa" w:w="266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Acceptance criteria met; model uncertainty addressed</w:t>
            </w:r>
          </w:p>
        </w:tc>
      </w:tr>
      <w:tr>
        <w:tc>
          <w:tcPr>
            <w:tcW w:type="dxa" w:w="79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4. Process and seal</w:t>
            </w:r>
          </w:p>
        </w:tc>
        <w:tc>
          <w:tcPr>
            <w:tcW w:type="dxa" w:w="525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Line trial and seal-window qualification, including edge settings, integrity, visual/particulate, label and pack handling</w:t>
            </w:r>
          </w:p>
        </w:tc>
        <w:tc>
          <w:tcPr>
            <w:tcW w:type="dxa" w:w="230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Validation / Manufacturing / QC</w:t>
            </w:r>
          </w:p>
        </w:tc>
        <w:tc>
          <w:tcPr>
            <w:tcW w:type="dxa" w:w="266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Approved report; no unresolved deviations</w:t>
            </w:r>
          </w:p>
        </w:tc>
      </w:tr>
      <w:tr>
        <w:tc>
          <w:tcPr>
            <w:tcW w:type="dxa" w:w="79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5. Product-contact pathway</w:t>
            </w:r>
          </w:p>
        </w:tc>
        <w:tc>
          <w:tcPr>
            <w:tcW w:type="dxa" w:w="525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Documented extractables/migration/toxicological risk assessment</w:t>
            </w:r>
          </w:p>
        </w:tc>
        <w:tc>
          <w:tcPr>
            <w:tcW w:type="dxa" w:w="230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CMC / Toxicology</w:t>
            </w:r>
          </w:p>
        </w:tc>
        <w:tc>
          <w:tcPr>
            <w:tcW w:type="dxa" w:w="266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Risk acceptable and approved</w:t>
            </w:r>
          </w:p>
        </w:tc>
      </w:tr>
      <w:tr>
        <w:tc>
          <w:tcPr>
            <w:tcW w:type="dxa" w:w="79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6. Stability bridge</w:t>
            </w:r>
          </w:p>
        </w:tc>
        <w:tc>
          <w:tcPr>
            <w:tcW w:type="dxa" w:w="525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Approved protocol with BF-51 comparator, HF-55 confirmation lots, 100 and 250 mL, Impurity A focus, accelerated/long-term plan and predefined decision rules</w:t>
            </w:r>
          </w:p>
        </w:tc>
        <w:tc>
          <w:tcPr>
            <w:tcW w:type="dxa" w:w="230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QC Stability / CMC / Statistics</w:t>
            </w:r>
          </w:p>
        </w:tc>
        <w:tc>
          <w:tcPr>
            <w:tcW w:type="dxa" w:w="266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Sufficient data to support proposed shelf life and worst-case conclusion</w:t>
            </w:r>
          </w:p>
        </w:tc>
      </w:tr>
      <w:tr>
        <w:tc>
          <w:tcPr>
            <w:tcW w:type="dxa" w:w="79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7. Regulatory</w:t>
            </w:r>
          </w:p>
        </w:tc>
        <w:tc>
          <w:tcPr>
            <w:tcW w:type="dxa" w:w="525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Market/application impact and category in RIM; affected dossier text; authority communication/clearance as required; COM-AVI401-008 linkage</w:t>
            </w:r>
          </w:p>
        </w:tc>
        <w:tc>
          <w:tcPr>
            <w:tcW w:type="dxa" w:w="230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Regulatory CMC</w:t>
            </w:r>
          </w:p>
        </w:tc>
        <w:tc>
          <w:tcPr>
            <w:tcW w:type="dxa" w:w="266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Documented clearance before first commercial use</w:t>
            </w:r>
          </w:p>
        </w:tc>
      </w:tr>
      <w:tr>
        <w:tc>
          <w:tcPr>
            <w:tcW w:type="dxa" w:w="79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8. Quality/effectivity</w:t>
            </w:r>
          </w:p>
        </w:tc>
        <w:tc>
          <w:tcPr>
            <w:tcW w:type="dxa" w:w="525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Final AVT-CMC-041, QA change approval, aligned ERP/DMS/LIMS/RIM/MES effectivity, training, segregation, rollback and first-lot verification</w:t>
            </w:r>
          </w:p>
        </w:tc>
        <w:tc>
          <w:tcPr>
            <w:tcW w:type="dxa" w:w="230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QA / system owners</w:t>
            </w:r>
          </w:p>
        </w:tc>
        <w:tc>
          <w:tcPr>
            <w:tcW w:type="dxa" w:w="266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All authoritative systems agree</w:t>
            </w:r>
          </w:p>
        </w:tc>
      </w:tr>
    </w:tbl>
    <w:p>
      <w:pPr>
        <w:spacing w:after="0"/>
      </w:pPr>
    </w:p>
    <w:p>
      <w:pPr>
        <w:pStyle w:val="Heading1"/>
      </w:pPr>
      <w:r>
        <w:t>7. Proposed path forward</w:t>
      </w:r>
    </w:p>
    <w:p>
      <w:pPr>
        <w:pStyle w:val="ListNumber"/>
        <w:spacing w:after="60"/>
      </w:pPr>
      <w:r>
        <w:t>Retain BF-51 as the sole authorised commercial overwrap and preserve stock/material segregation while the change is assessed.</w:t>
      </w:r>
    </w:p>
    <w:p>
      <w:pPr>
        <w:pStyle w:val="ListNumber"/>
        <w:spacing w:after="60"/>
      </w:pPr>
      <w:r>
        <w:t>Obtain the missing HF-55 drawings and qualification certificates; complete supplier qualification and define the incoming material specification before using test material on the line.</w:t>
      </w:r>
    </w:p>
    <w:p>
      <w:pPr>
        <w:pStyle w:val="ListNumber"/>
        <w:spacing w:after="60"/>
      </w:pPr>
      <w:r>
        <w:t>Agree a protocol-driven barrier and package study. At minimum, compare BF-51 and HF-55 at humidity conditions relevant to 25 °C/60% RH and stressed storage, include both pouch sizes, and evaluate oxygen ingress rather than relying only on flat-film OTR.</w:t>
      </w:r>
    </w:p>
    <w:p>
      <w:pPr>
        <w:pStyle w:val="ListNumber"/>
        <w:spacing w:after="60"/>
      </w:pPr>
      <w:r>
        <w:t>Execute line/seal qualification and product-specific stability work. Use the 250 mL presentation as the minimum oxidative worst case unless data justify otherwise; retain the 100 mL presentation to assess geometry/headspace effects.</w:t>
      </w:r>
    </w:p>
    <w:p>
      <w:pPr>
        <w:pStyle w:val="ListNumber"/>
        <w:spacing w:after="60"/>
      </w:pPr>
      <w:r>
        <w:t>In parallel, complete the controlled lot-specific BF-51 stability projection and authority response. Keep this work analytically separate from the HF-55 change package.</w:t>
      </w:r>
    </w:p>
    <w:p>
      <w:pPr>
        <w:pStyle w:val="ListNumber"/>
        <w:spacing w:after="60"/>
      </w:pPr>
      <w:r>
        <w:t>Reconvene CMC/MSAT, QC Stability, Packaging, Validation, QA and Regulatory CMC after gates 1–6. Regulatory CMC then finalises the market-specific reporting route and implementation prerequisites.</w:t>
      </w:r>
    </w:p>
    <w:p>
      <w:pPr>
        <w:pStyle w:val="Heading1"/>
      </w:pPr>
      <w:r>
        <w:t>8. Overall risk conclusion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223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Domain</w:t>
            </w:r>
          </w:p>
        </w:tc>
        <w:tc>
          <w:tcPr>
            <w:tcW w:type="dxa" w:w="172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Current rating</w:t>
            </w:r>
          </w:p>
        </w:tc>
        <w:tc>
          <w:tcPr>
            <w:tcW w:type="dxa" w:w="439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Basis</w:t>
            </w:r>
          </w:p>
        </w:tc>
        <w:tc>
          <w:tcPr>
            <w:tcW w:type="dxa" w:w="288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Residual position</w:t>
            </w:r>
          </w:p>
        </w:tc>
      </w:tr>
      <w:tr>
        <w:tc>
          <w:tcPr>
            <w:tcW w:type="dxa" w:w="223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Product quality / shelf life</w:t>
            </w:r>
          </w:p>
        </w:tc>
        <w:tc>
          <w:tcPr>
            <w:tcW w:type="dxa" w:w="172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High</w:t>
            </w:r>
          </w:p>
        </w:tc>
        <w:tc>
          <w:tcPr>
            <w:tcW w:type="dxa" w:w="439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Higher HF-55 OTR directly challenges control of Impurity A; current BF-51 margin to 36 months is unresolved.</w:t>
            </w:r>
          </w:p>
        </w:tc>
        <w:tc>
          <w:tcPr>
            <w:tcW w:type="dxa" w:w="288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Unacceptable for implementation until product-specific bridge demonstrates control.</w:t>
            </w:r>
          </w:p>
        </w:tc>
      </w:tr>
      <w:tr>
        <w:tc>
          <w:tcPr>
            <w:tcW w:type="dxa" w:w="223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Process / package integrity</w:t>
            </w:r>
          </w:p>
        </w:tc>
        <w:tc>
          <w:tcPr>
            <w:tcW w:type="dxa" w:w="172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Medium–High</w:t>
            </w:r>
          </w:p>
        </w:tc>
        <w:tc>
          <w:tcPr>
            <w:tcW w:type="dxa" w:w="439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Seal window differs and no Havenor line equivalence exists.</w:t>
            </w:r>
          </w:p>
        </w:tc>
        <w:tc>
          <w:tcPr>
            <w:tcW w:type="dxa" w:w="288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Qualification required.</w:t>
            </w:r>
          </w:p>
        </w:tc>
      </w:tr>
      <w:tr>
        <w:tc>
          <w:tcPr>
            <w:tcW w:type="dxa" w:w="223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Patient risk</w:t>
            </w:r>
          </w:p>
        </w:tc>
        <w:tc>
          <w:tcPr>
            <w:tcW w:type="dxa" w:w="172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Potentially significant, indirect</w:t>
            </w:r>
          </w:p>
        </w:tc>
        <w:tc>
          <w:tcPr>
            <w:tcW w:type="dxa" w:w="439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Failure would manifest as elevated degradation products or shortened shelf life.</w:t>
            </w:r>
          </w:p>
        </w:tc>
        <w:tc>
          <w:tcPr>
            <w:tcW w:type="dxa" w:w="288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Prevented by keeping HF-55 out of commercial use.</w:t>
            </w:r>
          </w:p>
        </w:tc>
      </w:tr>
      <w:tr>
        <w:tc>
          <w:tcPr>
            <w:tcW w:type="dxa" w:w="223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Regulatory compliance</w:t>
            </w:r>
          </w:p>
        </w:tc>
        <w:tc>
          <w:tcPr>
            <w:tcW w:type="dxa" w:w="172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High</w:t>
            </w:r>
          </w:p>
        </w:tc>
        <w:tc>
          <w:tcPr>
            <w:tcW w:type="dxa" w:w="439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Named registered component; open commitment and active authority questions.</w:t>
            </w:r>
          </w:p>
        </w:tc>
        <w:tc>
          <w:tcPr>
            <w:tcW w:type="dxa" w:w="288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Prior RIM decision and any authority clearance required.</w:t>
            </w:r>
          </w:p>
        </w:tc>
      </w:tr>
      <w:tr>
        <w:tc>
          <w:tcPr>
            <w:tcW w:type="dxa" w:w="223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Supply continuity</w:t>
            </w:r>
          </w:p>
        </w:tc>
        <w:tc>
          <w:tcPr>
            <w:tcW w:type="dxa" w:w="172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Not assessed as justification</w:t>
            </w:r>
          </w:p>
        </w:tc>
        <w:tc>
          <w:tcPr>
            <w:tcW w:type="dxa" w:w="439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Second source may improve resilience, but supply pressure is not scientific evidence.</w:t>
            </w:r>
          </w:p>
        </w:tc>
        <w:tc>
          <w:tcPr>
            <w:tcW w:type="dxa" w:w="288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May support priority, not lowered acceptance criteria.</w:t>
            </w:r>
          </w:p>
        </w:tc>
      </w:tr>
    </w:tbl>
    <w:p>
      <w:pPr>
        <w:spacing w:after="0"/>
      </w:pPr>
    </w:p>
    <w:p>
      <w:r>
        <w:rPr>
          <w:b/>
        </w:rPr>
        <w:t xml:space="preserve">Bottom line: </w:t>
      </w:r>
      <w:r>
        <w:t>HF-55 is a potentially useful alternate-source candidate, but it is technically nonequivalent on the critical attribute currently available for comparison. The appropriate current disposition is HOLD / further evidence required, with BF-51 retained as the sole approved configuration.</w:t>
      </w:r>
    </w:p>
    <w:p>
      <w:pPr>
        <w:pStyle w:val="Heading1"/>
      </w:pPr>
      <w:r>
        <w:t>9. Source records reviewed</w:t>
      </w:r>
    </w:p>
    <w:p>
      <w:pPr>
        <w:pStyle w:val="ListBullet"/>
        <w:spacing w:after="60"/>
      </w:pPr>
      <w:r>
        <w:t>CC-AVI401-017_Change_Status.xlsx — QMS change status export.</w:t>
      </w:r>
    </w:p>
    <w:p>
      <w:pPr>
        <w:pStyle w:val="ListBullet"/>
        <w:spacing w:after="60"/>
      </w:pPr>
      <w:r>
        <w:t>AVT-CMC-041, Alternate Overwrap Supplier Technical Assessment, v01, draft dated 08 Feb 2027.</w:t>
      </w:r>
    </w:p>
    <w:p>
      <w:pPr>
        <w:pStyle w:val="ListBullet"/>
        <w:spacing w:after="60"/>
      </w:pPr>
      <w:r>
        <w:t>HFC-QN-2026-074, HF-55 Film Notification, 04 Nov 2026.</w:t>
      </w:r>
    </w:p>
    <w:p>
      <w:pPr>
        <w:pStyle w:val="ListBullet"/>
        <w:spacing w:after="60"/>
      </w:pPr>
      <w:r>
        <w:t>AVT-CMC-038, 3.2.P.8 Stability — AVI-401, v03, effective 14 Oct 2026 / sequence 0003.</w:t>
      </w:r>
    </w:p>
    <w:p>
      <w:pPr>
        <w:pStyle w:val="ListBullet"/>
        <w:spacing w:after="60"/>
      </w:pPr>
      <w:r>
        <w:t>AVT-STB-301, AVI-401 interim stability report — 18 months, approved.</w:t>
      </w:r>
    </w:p>
    <w:p>
      <w:pPr>
        <w:pStyle w:val="ListBullet"/>
        <w:spacing w:after="60"/>
      </w:pPr>
      <w:r>
        <w:t>STB-AVI401-002_Long_Term_Results.xlsx and STB-AVI401-002_Study_Status.xlsx — verified study exports/status; next pull 01 Mar 2027.</w:t>
      </w:r>
    </w:p>
    <w:p>
      <w:pPr>
        <w:pStyle w:val="ListBullet"/>
        <w:spacing w:after="60"/>
      </w:pPr>
      <w:r>
        <w:t>AVT-SPEC-018 / AVI401-SPEC-v03, AVI-401 release and stability specification.</w:t>
      </w:r>
    </w:p>
    <w:p>
      <w:pPr>
        <w:pStyle w:val="ListBullet"/>
        <w:spacing w:after="60"/>
      </w:pPr>
      <w:r>
        <w:t>AVT-VAL-201, AVT-VAL-202 and AVT-VAL-203 — approved current-system container reports.</w:t>
      </w:r>
    </w:p>
    <w:p>
      <w:pPr>
        <w:pStyle w:val="ListBullet"/>
        <w:spacing w:after="60"/>
      </w:pPr>
      <w:r>
        <w:t>HA-AVI401-IR-2027-014, information request dated 19 Jan 2027.</w:t>
      </w:r>
    </w:p>
    <w:p>
      <w:pPr>
        <w:pStyle w:val="ListBullet"/>
        <w:spacing w:after="60"/>
      </w:pPr>
      <w:r>
        <w:t>AVT-SOP-095 v4.0, Technical Assessment of Component Changes; SOP-071 v5.0, Regulatory Change Assessment; AVT-SOP-074 v1.0, Post-Approval Change Reporting Categorisation.</w:t>
      </w:r>
    </w:p>
    <w:p>
      <w:pPr>
        <w:pStyle w:val="Heading1"/>
      </w:pPr>
      <w:r>
        <w:t>10. Status and endorsement</w:t>
      </w:r>
    </w:p>
    <w:p>
      <w:r>
        <w:t>This document records a recommended CMC/MSAT position for discussion. It is not an approval of CC-AVI401-017, a final regulatory reporting category, a shelf-life determination, or authorisation to implement HF-55. Formal conclusions must be entered and approved in the applicable QMS and RIM records.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24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Role</w:t>
            </w:r>
          </w:p>
        </w:tc>
        <w:tc>
          <w:tcPr>
            <w:tcW w:type="dxa" w:w="475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Proposed disposition</w:t>
            </w:r>
          </w:p>
        </w:tc>
        <w:tc>
          <w:tcPr>
            <w:tcW w:type="dxa" w:w="324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F5597"/>
          </w:tcPr>
          <w:p>
            <w:pPr>
              <w:pStyle w:val="TableText"/>
            </w:pPr>
            <w:r/>
            <w:r>
              <w:rPr>
                <w:b/>
                <w:color w:val="FFFFFF"/>
                <w:sz w:val="14"/>
              </w:rPr>
              <w:t>Name / date</w:t>
            </w:r>
          </w:p>
        </w:tc>
      </w:tr>
      <w:tr>
        <w:tc>
          <w:tcPr>
            <w:tcW w:type="dxa" w:w="324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CMC / MSAT technical owner</w:t>
            </w:r>
          </w:p>
        </w:tc>
        <w:tc>
          <w:tcPr>
            <w:tcW w:type="dxa" w:w="475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Concur / revise</w:t>
            </w:r>
          </w:p>
        </w:tc>
        <w:tc>
          <w:tcPr>
            <w:tcW w:type="dxa" w:w="324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____________________________</w:t>
            </w:r>
          </w:p>
        </w:tc>
      </w:tr>
      <w:tr>
        <w:tc>
          <w:tcPr>
            <w:tcW w:type="dxa" w:w="324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QC Stability reviewer</w:t>
            </w:r>
          </w:p>
        </w:tc>
        <w:tc>
          <w:tcPr>
            <w:tcW w:type="dxa" w:w="475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Concur / revise</w:t>
            </w:r>
          </w:p>
        </w:tc>
        <w:tc>
          <w:tcPr>
            <w:tcW w:type="dxa" w:w="324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____________________________</w:t>
            </w:r>
          </w:p>
        </w:tc>
      </w:tr>
      <w:tr>
        <w:tc>
          <w:tcPr>
            <w:tcW w:type="dxa" w:w="324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Regulatory CMC owner</w:t>
            </w:r>
          </w:p>
        </w:tc>
        <w:tc>
          <w:tcPr>
            <w:tcW w:type="dxa" w:w="475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Record market-specific assessment in RIM</w:t>
            </w:r>
          </w:p>
        </w:tc>
        <w:tc>
          <w:tcPr>
            <w:tcW w:type="dxa" w:w="324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Jonas Wei / __________________</w:t>
            </w:r>
          </w:p>
        </w:tc>
      </w:tr>
      <w:tr>
        <w:tc>
          <w:tcPr>
            <w:tcW w:type="dxa" w:w="324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QA Product Lead</w:t>
            </w:r>
          </w:p>
        </w:tc>
        <w:tc>
          <w:tcPr>
            <w:tcW w:type="dxa" w:w="4752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Quality decision remains pending</w:t>
            </w:r>
          </w:p>
        </w:tc>
        <w:tc>
          <w:tcPr>
            <w:tcW w:type="dxa" w:w="3240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2F6FA"/>
          </w:tcPr>
          <w:p>
            <w:pPr>
              <w:pStyle w:val="TableText"/>
            </w:pPr>
            <w:r/>
            <w:r>
              <w:rPr>
                <w:b w:val="0"/>
                <w:sz w:val="15"/>
              </w:rPr>
              <w:t>____________________________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79" w:right="1037" w:bottom="936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 xml:space="preserve">CC-AVI401-017  •  INTERNAL WORKING DOCUMENT  •  </w:t>
    </w:r>
    <w:r>
      <w:fldChar w:fldCharType="begin"/>
      <w:instrText xml:space="preserve">PAGE</w:instrText>
      <w:fldChar w:fldCharType="end"/>
    </w:r>
    <w:r>
      <w:t xml:space="preserve"> of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  <w:jc w:val="right"/>
    </w:pPr>
    <w:r>
      <w:t>HAVENOR THERAPEUTICS  |  CMC / MSAT WORKING BRIEF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5597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2F559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rPr>
      <w:rFonts w:ascii="Aptos" w:hAnsi="Aptos"/>
      <w:color w:val="505050"/>
      <w:sz w:val="15"/>
    </w:rPr>
  </w:style>
  <w:style w:type="paragraph" w:customStyle="1" w:styleId="TableText">
    <w:name w:val="Table Text"/>
    <w:pPr>
      <w:spacing w:after="20"/>
    </w:pPr>
    <w:rPr>
      <w:rFonts w:ascii="Aptos" w:hAnsi="Aptos"/>
      <w:sz w:val="15"/>
    </w:rPr>
  </w:style>
  <w:style w:type="paragraph" w:customStyle="1" w:styleId="Decision">
    <w:name w:val="Decision"/>
    <w:rPr>
      <w:rFonts w:ascii="Aptos" w:hAnsi="Aptos"/>
      <w:b/>
      <w:color w:val="9C0006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CC-AVI401-017 CMC regulatory impact brief</dc:title>
  <dc:subject>Technical position on proposed HF-55 alternate overwrap</dc:subject>
  <dc:creator>CMC and MSAT working brief</dc:creator>
  <cp:keywords>AVI-401, CC-AVI401-017, HF-55, BF-51, overwrap, regulatory CMC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